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58"/>
        <w:gridCol w:w="1527"/>
        <w:gridCol w:w="992"/>
        <w:gridCol w:w="2835"/>
        <w:gridCol w:w="709"/>
        <w:gridCol w:w="992"/>
        <w:gridCol w:w="851"/>
        <w:gridCol w:w="937"/>
        <w:gridCol w:w="1472"/>
      </w:tblGrid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1843" w:type="dxa"/>
            <w:gridSpan w:val="2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RPr="0050278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Pr="009B4472" w:rsidRDefault="009B447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B44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B447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B44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B447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B44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B447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709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  <w:tc>
          <w:tcPr>
            <w:tcW w:w="937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  <w:tc>
          <w:tcPr>
            <w:tcW w:w="1472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</w:tr>
      <w:tr w:rsidR="0000334B" w:rsidRPr="0050278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Pr="009B4472" w:rsidRDefault="009B4472">
            <w:pPr>
              <w:jc w:val="center"/>
              <w:rPr>
                <w:lang w:val="en-US"/>
              </w:rPr>
            </w:pPr>
            <w:r w:rsidRPr="009B4472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  <w:tc>
          <w:tcPr>
            <w:tcW w:w="937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  <w:tc>
          <w:tcPr>
            <w:tcW w:w="1472" w:type="dxa"/>
            <w:shd w:val="clear" w:color="FFFFFF" w:fill="auto"/>
            <w:vAlign w:val="bottom"/>
          </w:tcPr>
          <w:p w:rsidR="0000334B" w:rsidRPr="009B4472" w:rsidRDefault="0000334B">
            <w:pPr>
              <w:rPr>
                <w:lang w:val="en-US"/>
              </w:rPr>
            </w:pPr>
          </w:p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 w:rsidP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18.10.2018 г. №.1166-18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5812" w:type="dxa"/>
            <w:gridSpan w:val="4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9301" w:type="dxa"/>
            <w:gridSpan w:val="8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10773" w:type="dxa"/>
            <w:gridSpan w:val="9"/>
            <w:shd w:val="clear" w:color="FFFFFF" w:fill="auto"/>
            <w:vAlign w:val="bottom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00334B" w:rsidRPr="009B4472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34B" w:rsidRPr="009B4472" w:rsidRDefault="009B4472">
            <w:pPr>
              <w:jc w:val="center"/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34B" w:rsidRPr="009B4472" w:rsidRDefault="009B4472">
            <w:pPr>
              <w:jc w:val="center"/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34B" w:rsidRPr="009B4472" w:rsidRDefault="009B4472">
            <w:pPr>
              <w:jc w:val="center"/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34B" w:rsidRPr="009B4472" w:rsidRDefault="009B4472">
            <w:pPr>
              <w:jc w:val="center"/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34B" w:rsidRPr="009B4472" w:rsidRDefault="009B4472">
            <w:pPr>
              <w:jc w:val="center"/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b/>
                <w:sz w:val="20"/>
                <w:szCs w:val="20"/>
              </w:rPr>
              <w:t xml:space="preserve">Кол-во, </w:t>
            </w:r>
            <w:proofErr w:type="spellStart"/>
            <w:r w:rsidRPr="009B4472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34B" w:rsidRPr="009B4472" w:rsidRDefault="009B4472">
            <w:pPr>
              <w:jc w:val="center"/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b/>
                <w:sz w:val="20"/>
                <w:szCs w:val="20"/>
              </w:rPr>
              <w:t>Цена, рублей</w:t>
            </w: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34B" w:rsidRPr="009B4472" w:rsidRDefault="009B4472">
            <w:pPr>
              <w:jc w:val="center"/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34B" w:rsidRPr="009B4472" w:rsidRDefault="009B4472">
            <w:pPr>
              <w:jc w:val="center"/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b/>
                <w:sz w:val="20"/>
                <w:szCs w:val="20"/>
              </w:rPr>
              <w:t>Остаточный срок годности</w:t>
            </w:r>
          </w:p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Маска медицинская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Маска </w:t>
            </w:r>
            <w:proofErr w:type="gramStart"/>
            <w:r w:rsidRPr="009B4472">
              <w:rPr>
                <w:rFonts w:ascii="Times New Roman" w:hAnsi="Times New Roman"/>
                <w:szCs w:val="16"/>
              </w:rPr>
              <w:t>хирургическая  из</w:t>
            </w:r>
            <w:proofErr w:type="gramEnd"/>
            <w:r w:rsidRPr="009B447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гипоаллергенного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особенно легкого нетканого материала с 2-резинками,  3-х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слойная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:-наружный слой: нетканый, (смесь целлюлозы и полиэстера) - средний слой: полипропилен выдувного производства. Окантовка с высокой впитывающей </w:t>
            </w:r>
            <w:proofErr w:type="gramStart"/>
            <w:r w:rsidRPr="009B4472">
              <w:rPr>
                <w:rFonts w:ascii="Times New Roman" w:hAnsi="Times New Roman"/>
                <w:szCs w:val="16"/>
              </w:rPr>
              <w:t>способностью</w:t>
            </w:r>
            <w:r w:rsidR="0050278B">
              <w:rPr>
                <w:rFonts w:ascii="Times New Roman" w:hAnsi="Times New Roman"/>
                <w:szCs w:val="16"/>
              </w:rPr>
              <w:t xml:space="preserve"> </w:t>
            </w:r>
            <w:r w:rsidRPr="009B4472">
              <w:rPr>
                <w:rFonts w:ascii="Times New Roman" w:hAnsi="Times New Roman"/>
                <w:szCs w:val="16"/>
              </w:rPr>
              <w:t>.Длинный</w:t>
            </w:r>
            <w:proofErr w:type="gramEnd"/>
            <w:r w:rsidRPr="009B4472">
              <w:rPr>
                <w:rFonts w:ascii="Times New Roman" w:hAnsi="Times New Roman"/>
                <w:szCs w:val="16"/>
              </w:rPr>
              <w:t xml:space="preserve"> интегрированный фиксатор на переносице. Все слои обработаны ультразвуковой сваркой BFE – 98.</w:t>
            </w:r>
            <w:r w:rsidRPr="009B4472">
              <w:rPr>
                <w:rFonts w:ascii="Times New Roman" w:hAnsi="Times New Roman"/>
                <w:szCs w:val="16"/>
              </w:rPr>
              <w:br/>
              <w:t>Нестерильно упаковано.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500 000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Простыня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Простыня в рулоне одноразовая с перфорацией 140х200 см, длина рулона 200 м, ширина 70 см, пл.20 г/м², перфорация через 200 см. Нестерильно упаковано.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Простыня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Простыня хирургическая 210х140 см.  Изготовлена из 4-х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слойного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нетканого влагоотталкивающего паропроницаемого материала </w:t>
            </w:r>
            <w:proofErr w:type="gramStart"/>
            <w:r w:rsidRPr="009B4472">
              <w:rPr>
                <w:rFonts w:ascii="Times New Roman" w:hAnsi="Times New Roman"/>
                <w:szCs w:val="16"/>
              </w:rPr>
              <w:t>плотностью  60</w:t>
            </w:r>
            <w:proofErr w:type="gramEnd"/>
            <w:r w:rsidRPr="009B4472">
              <w:rPr>
                <w:rFonts w:ascii="Times New Roman" w:hAnsi="Times New Roman"/>
                <w:szCs w:val="16"/>
              </w:rPr>
              <w:t xml:space="preserve"> г/м², (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спанбонд-мельтблаун-мельтблаун-спанбонд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>) или эквивалент. Стерильно, индивидуальная упаковка.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Тампоны марлевые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Марлевые стерильные анатомические тампоны 0,8*1.2+-0,1 см круглой формы для препарирования и сепарации тканей из отбеленной перевязочной марли туго скрученные с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рентгеноконтрастной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нитью. Обладают хорошей капиллярностью и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смачиваемостью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, гигроскопичны. Материал тампона 100% хлопок. Плотность плетения материала тампона не менее 24 нить/см2. Время погружения, характеризующее гигроскопические свойства изделия, не более 5-ти секунд. Материал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рентгеноконтрастности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нити 100% поливинилхлорид.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Рентгеноконтрастное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вещество не менее 60% ВаSО4. Количество в упаковке 100шт. Срок стерильности 5 лет.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5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Фартук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Фартук ламинированный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дноразовый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нестерильный (уп.10 шт.) Должен быть изготовлен из 2-х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слойного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влагонепроницаемого материала плотностью не менее 45 г/м², первый слой – влагоотталкивающий материал технологии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спанбонд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, плотностью не менее 20 г/м², второй слой – полиэтиленовая плёнка, препятствующая проникновению жидких сред и бактерий.  Фартук должен иметь длину не менее 110 см, ширину не менее 80см, широкое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цельнокройное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отверстие горловины, лямки шириной не менее 5 см и завязки в области талии.  Наружная упаковка должна обладать высокими барьерными свойствами, иметь толщину не менее 50 мкм. В упаковке 10 штук. Данное наименование товара, должно быть подтверждено наличием действующего регистрационного удостоверения.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6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Фартук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Фартук хирургический длинный влагонепроницаемый изготовлен из полиэтилена толщиной 40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мкр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>.</w:t>
            </w:r>
            <w:r w:rsidRPr="009B4472">
              <w:rPr>
                <w:rFonts w:ascii="Times New Roman" w:hAnsi="Times New Roman"/>
                <w:szCs w:val="16"/>
              </w:rPr>
              <w:br/>
              <w:t>Нестерильно упаковано</w:t>
            </w:r>
            <w:r w:rsidRPr="009B4472">
              <w:rPr>
                <w:rFonts w:ascii="Times New Roman" w:hAnsi="Times New Roman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7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Халат полипропиленовый одноразовый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Халат полипропиленовый одноразовый из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нетканного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материала, размер XL, 100% полипропилен SPP</w:t>
            </w:r>
            <w:r w:rsidR="0050278B">
              <w:rPr>
                <w:rFonts w:ascii="Times New Roman" w:hAnsi="Times New Roman"/>
                <w:szCs w:val="16"/>
              </w:rPr>
              <w:t xml:space="preserve"> (или эквивалент)</w:t>
            </w:r>
            <w:bookmarkStart w:id="0" w:name="_GoBack"/>
            <w:bookmarkEnd w:id="0"/>
            <w:r w:rsidRPr="009B4472">
              <w:rPr>
                <w:rFonts w:ascii="Times New Roman" w:hAnsi="Times New Roman"/>
                <w:szCs w:val="16"/>
              </w:rPr>
              <w:t>, плотность 40 г/м2. Длинный рукав, под шеей отделан воротником застегивается на кнопки.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lastRenderedPageBreak/>
              <w:t>8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Халат полипропиленовый одноразовый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Халат полипропиленовый одноразовый из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нетканного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материала, размер XXL, 100% полипропилен SPP, плотность 40 г/м2. Длинный рукав, под шеей отделан воротником застегивается на кнопки.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Халат хирургический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Халат хирургический. Размер 50-52. Водоотталкивающий, с окантовкой горловины и регулируемой застежкой ворота на «липучке». Изготовлен из 4-х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слойного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нетканого влагоотталкивающего паропроницаемого материала </w:t>
            </w:r>
            <w:proofErr w:type="gramStart"/>
            <w:r w:rsidRPr="009B4472">
              <w:rPr>
                <w:rFonts w:ascii="Times New Roman" w:hAnsi="Times New Roman"/>
                <w:szCs w:val="16"/>
              </w:rPr>
              <w:t>плотностью  42</w:t>
            </w:r>
            <w:proofErr w:type="gramEnd"/>
            <w:r w:rsidRPr="009B4472">
              <w:rPr>
                <w:rFonts w:ascii="Times New Roman" w:hAnsi="Times New Roman"/>
                <w:szCs w:val="16"/>
              </w:rPr>
              <w:t xml:space="preserve"> г/м², (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спанбонд-мельтблаун-мельтблаун-спанбонд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) или эквивалент. Общая длина 140 см. Имеет мягкие трикотажные манжеты шириной не менее 8 см и отшивку горловины из бейки белого цвета шириной не менее7 мм. Халат сложен специальным образом для удобства асептического </w:t>
            </w:r>
            <w:proofErr w:type="gramStart"/>
            <w:r w:rsidRPr="009B4472">
              <w:rPr>
                <w:rFonts w:ascii="Times New Roman" w:hAnsi="Times New Roman"/>
                <w:szCs w:val="16"/>
              </w:rPr>
              <w:t>надевания  без</w:t>
            </w:r>
            <w:proofErr w:type="gramEnd"/>
            <w:r w:rsidRPr="009B4472">
              <w:rPr>
                <w:rFonts w:ascii="Times New Roman" w:hAnsi="Times New Roman"/>
                <w:szCs w:val="16"/>
              </w:rPr>
              <w:t xml:space="preserve"> дополнительной помощи стерильного персонала.  Критические зоны халата (рукава) изготовлены по бесшовной технологии методом ультразвуковой сварки. Стерильно, индивидуальная упаковка.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Халат хирургический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Халат хирургический. Размер 54-56. Водоотталкивающий, с окантовкой горловины и регулируемой застежкой ворота на «липучке». Изготовлен из 4-х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слойного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нетканого влагоотталкивающего паропроницаемого материала </w:t>
            </w:r>
            <w:proofErr w:type="gramStart"/>
            <w:r w:rsidRPr="009B4472">
              <w:rPr>
                <w:rFonts w:ascii="Times New Roman" w:hAnsi="Times New Roman"/>
                <w:szCs w:val="16"/>
              </w:rPr>
              <w:t>плотностью  42</w:t>
            </w:r>
            <w:proofErr w:type="gramEnd"/>
            <w:r w:rsidRPr="009B4472">
              <w:rPr>
                <w:rFonts w:ascii="Times New Roman" w:hAnsi="Times New Roman"/>
                <w:szCs w:val="16"/>
              </w:rPr>
              <w:t xml:space="preserve"> г/м², (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спанбонд-мельтблаун-мельтблаун-спанбонд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) или эквивалент. Общая длина 140 см. Имеет мягкие трикотажные манжеты шириной не менее 8 см и отшивку горловины из бейки белого цвета шириной не менее7 мм. Халат сложен специальным образом для удобства асептического </w:t>
            </w:r>
            <w:proofErr w:type="gramStart"/>
            <w:r w:rsidRPr="009B4472">
              <w:rPr>
                <w:rFonts w:ascii="Times New Roman" w:hAnsi="Times New Roman"/>
                <w:szCs w:val="16"/>
              </w:rPr>
              <w:t>надевания  без</w:t>
            </w:r>
            <w:proofErr w:type="gramEnd"/>
            <w:r w:rsidRPr="009B4472">
              <w:rPr>
                <w:rFonts w:ascii="Times New Roman" w:hAnsi="Times New Roman"/>
                <w:szCs w:val="16"/>
              </w:rPr>
              <w:t xml:space="preserve"> дополнительной помощи стерильного персонала.  Критические зоны халата (рукава) изготовлены по бесшовной технологии методом ультразвуковой сварки. Стерильно, индивидуальная упаковка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11</w:t>
            </w:r>
          </w:p>
        </w:tc>
        <w:tc>
          <w:tcPr>
            <w:tcW w:w="15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>Шапочка</w:t>
            </w:r>
          </w:p>
        </w:tc>
        <w:tc>
          <w:tcPr>
            <w:tcW w:w="382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Pr="009B4472" w:rsidRDefault="009B4472">
            <w:pPr>
              <w:jc w:val="center"/>
              <w:rPr>
                <w:szCs w:val="16"/>
              </w:rPr>
            </w:pPr>
            <w:r w:rsidRPr="009B4472">
              <w:rPr>
                <w:rFonts w:ascii="Times New Roman" w:hAnsi="Times New Roman"/>
                <w:szCs w:val="16"/>
              </w:rPr>
              <w:t xml:space="preserve">Шапочка-берет хирургическая на резинке изготовлена из 4-х 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слойного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 xml:space="preserve"> нетканого влагоотталкивающего паропроницаемого материала </w:t>
            </w:r>
            <w:proofErr w:type="gramStart"/>
            <w:r w:rsidRPr="009B4472">
              <w:rPr>
                <w:rFonts w:ascii="Times New Roman" w:hAnsi="Times New Roman"/>
                <w:szCs w:val="16"/>
              </w:rPr>
              <w:t>плотностью  25</w:t>
            </w:r>
            <w:proofErr w:type="gramEnd"/>
            <w:r w:rsidRPr="009B4472">
              <w:rPr>
                <w:rFonts w:ascii="Times New Roman" w:hAnsi="Times New Roman"/>
                <w:szCs w:val="16"/>
              </w:rPr>
              <w:t xml:space="preserve"> г/м², (</w:t>
            </w:r>
            <w:proofErr w:type="spellStart"/>
            <w:r w:rsidRPr="009B4472">
              <w:rPr>
                <w:rFonts w:ascii="Times New Roman" w:hAnsi="Times New Roman"/>
                <w:szCs w:val="16"/>
              </w:rPr>
              <w:t>спанбонд-мельтблаун-мельтблаун-спанбонд</w:t>
            </w:r>
            <w:proofErr w:type="spellEnd"/>
            <w:r w:rsidRPr="009B4472">
              <w:rPr>
                <w:rFonts w:ascii="Times New Roman" w:hAnsi="Times New Roman"/>
                <w:szCs w:val="16"/>
              </w:rPr>
              <w:t>) или эквивалент. Нестерильно упаковано.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9B44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498 286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9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334B" w:rsidRDefault="0000334B">
            <w:pPr>
              <w:jc w:val="center"/>
            </w:pP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375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1527" w:type="dxa"/>
            <w:shd w:val="clear" w:color="FFFFFF" w:fill="auto"/>
            <w:vAlign w:val="bottom"/>
          </w:tcPr>
          <w:p w:rsidR="0000334B" w:rsidRDefault="0000334B"/>
        </w:tc>
        <w:tc>
          <w:tcPr>
            <w:tcW w:w="3827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10773" w:type="dxa"/>
            <w:gridSpan w:val="9"/>
            <w:shd w:val="clear" w:color="FFFFFF" w:fill="auto"/>
            <w:vAlign w:val="bottom"/>
          </w:tcPr>
          <w:p w:rsidR="0000334B" w:rsidRDefault="009B4472" w:rsidP="009B4472"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поставки: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соответствии с графиком поставок 2019г.</w:t>
            </w:r>
          </w:p>
        </w:tc>
      </w:tr>
      <w:tr w:rsidR="0000334B" w:rsidTr="009B4472">
        <w:trPr>
          <w:trHeight w:val="120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10773" w:type="dxa"/>
            <w:gridSpan w:val="9"/>
            <w:shd w:val="clear" w:color="FFFFFF" w:fill="auto"/>
            <w:vAlign w:val="bottom"/>
          </w:tcPr>
          <w:p w:rsidR="0000334B" w:rsidRDefault="009B447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00334B" w:rsidTr="009B4472">
        <w:trPr>
          <w:trHeight w:val="120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10773" w:type="dxa"/>
            <w:gridSpan w:val="9"/>
            <w:shd w:val="clear" w:color="FFFFFF" w:fill="auto"/>
            <w:vAlign w:val="bottom"/>
          </w:tcPr>
          <w:p w:rsidR="0000334B" w:rsidRDefault="009B447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00334B" w:rsidTr="009B4472">
        <w:trPr>
          <w:trHeight w:val="165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10773" w:type="dxa"/>
            <w:gridSpan w:val="9"/>
            <w:shd w:val="clear" w:color="FFFFFF" w:fill="auto"/>
            <w:vAlign w:val="bottom"/>
          </w:tcPr>
          <w:p w:rsidR="0000334B" w:rsidRDefault="009B4472" w:rsidP="009B4472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23.10.2018 0:00:00 по местному времени.</w:t>
            </w:r>
          </w:p>
        </w:tc>
      </w:tr>
      <w:tr w:rsidR="0000334B" w:rsidTr="009B4472">
        <w:trPr>
          <w:trHeight w:val="60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  <w:p w:rsidR="009B4472" w:rsidRDefault="009B4472"/>
          <w:p w:rsidR="009B4472" w:rsidRDefault="009B4472"/>
          <w:p w:rsidR="009B4472" w:rsidRDefault="009B4472"/>
          <w:p w:rsidR="009B4472" w:rsidRDefault="009B4472"/>
          <w:p w:rsidR="009B4472" w:rsidRDefault="009B4472"/>
          <w:p w:rsidR="009B4472" w:rsidRDefault="009B4472"/>
          <w:p w:rsidR="009B4472" w:rsidRDefault="009B4472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10773" w:type="dxa"/>
            <w:gridSpan w:val="9"/>
            <w:shd w:val="clear" w:color="FFFFFF" w:fill="auto"/>
            <w:vAlign w:val="bottom"/>
          </w:tcPr>
          <w:p w:rsidR="0000334B" w:rsidRDefault="009B4472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00334B" w:rsidTr="009B4472">
        <w:trPr>
          <w:trHeight w:val="60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458" w:type="dxa"/>
            <w:shd w:val="clear" w:color="FFFFFF" w:fill="auto"/>
            <w:vAlign w:val="bottom"/>
          </w:tcPr>
          <w:p w:rsidR="0000334B" w:rsidRDefault="0000334B"/>
        </w:tc>
        <w:tc>
          <w:tcPr>
            <w:tcW w:w="2519" w:type="dxa"/>
            <w:gridSpan w:val="2"/>
            <w:shd w:val="clear" w:color="FFFFFF" w:fill="auto"/>
            <w:vAlign w:val="bottom"/>
          </w:tcPr>
          <w:p w:rsidR="0000334B" w:rsidRDefault="0000334B"/>
        </w:tc>
        <w:tc>
          <w:tcPr>
            <w:tcW w:w="2835" w:type="dxa"/>
            <w:shd w:val="clear" w:color="FFFFFF" w:fill="auto"/>
            <w:vAlign w:val="bottom"/>
          </w:tcPr>
          <w:p w:rsidR="0000334B" w:rsidRDefault="0000334B"/>
        </w:tc>
        <w:tc>
          <w:tcPr>
            <w:tcW w:w="709" w:type="dxa"/>
            <w:shd w:val="clear" w:color="FFFFFF" w:fill="auto"/>
            <w:vAlign w:val="bottom"/>
          </w:tcPr>
          <w:p w:rsidR="0000334B" w:rsidRDefault="0000334B"/>
        </w:tc>
        <w:tc>
          <w:tcPr>
            <w:tcW w:w="992" w:type="dxa"/>
            <w:shd w:val="clear" w:color="FFFFFF" w:fill="auto"/>
            <w:vAlign w:val="bottom"/>
          </w:tcPr>
          <w:p w:rsidR="0000334B" w:rsidRDefault="0000334B"/>
        </w:tc>
        <w:tc>
          <w:tcPr>
            <w:tcW w:w="851" w:type="dxa"/>
            <w:shd w:val="clear" w:color="FFFFFF" w:fill="auto"/>
            <w:vAlign w:val="bottom"/>
          </w:tcPr>
          <w:p w:rsidR="0000334B" w:rsidRDefault="0000334B"/>
        </w:tc>
        <w:tc>
          <w:tcPr>
            <w:tcW w:w="937" w:type="dxa"/>
            <w:shd w:val="clear" w:color="FFFFFF" w:fill="auto"/>
            <w:vAlign w:val="bottom"/>
          </w:tcPr>
          <w:p w:rsidR="0000334B" w:rsidRDefault="0000334B"/>
        </w:tc>
        <w:tc>
          <w:tcPr>
            <w:tcW w:w="1472" w:type="dxa"/>
            <w:shd w:val="clear" w:color="FFFFFF" w:fill="auto"/>
            <w:vAlign w:val="bottom"/>
          </w:tcPr>
          <w:p w:rsidR="0000334B" w:rsidRDefault="0000334B"/>
        </w:tc>
      </w:tr>
      <w:tr w:rsidR="0000334B" w:rsidTr="009B4472">
        <w:trPr>
          <w:trHeight w:val="60"/>
        </w:trPr>
        <w:tc>
          <w:tcPr>
            <w:tcW w:w="10773" w:type="dxa"/>
            <w:gridSpan w:val="9"/>
            <w:shd w:val="clear" w:color="FFFFFF" w:fill="auto"/>
            <w:vAlign w:val="bottom"/>
          </w:tcPr>
          <w:p w:rsidR="0000334B" w:rsidRPr="009B4472" w:rsidRDefault="009B4472">
            <w:pPr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</w:tc>
      </w:tr>
      <w:tr w:rsidR="0000334B" w:rsidTr="009B4472">
        <w:trPr>
          <w:trHeight w:val="60"/>
        </w:trPr>
        <w:tc>
          <w:tcPr>
            <w:tcW w:w="10773" w:type="dxa"/>
            <w:gridSpan w:val="9"/>
            <w:shd w:val="clear" w:color="FFFFFF" w:fill="auto"/>
            <w:vAlign w:val="bottom"/>
          </w:tcPr>
          <w:p w:rsidR="0000334B" w:rsidRPr="009B4472" w:rsidRDefault="009B4472">
            <w:pPr>
              <w:rPr>
                <w:sz w:val="20"/>
                <w:szCs w:val="20"/>
              </w:rPr>
            </w:pPr>
            <w:r w:rsidRPr="009B4472">
              <w:rPr>
                <w:rFonts w:ascii="Times New Roman" w:hAnsi="Times New Roman"/>
                <w:sz w:val="20"/>
                <w:szCs w:val="20"/>
              </w:rPr>
              <w:t>Антипова Е.В. тел.220-16-04</w:t>
            </w:r>
          </w:p>
        </w:tc>
      </w:tr>
    </w:tbl>
    <w:p w:rsidR="00EC2FC4" w:rsidRDefault="00EC2FC4"/>
    <w:sectPr w:rsidR="00EC2FC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334B"/>
    <w:rsid w:val="0000334B"/>
    <w:rsid w:val="0050278B"/>
    <w:rsid w:val="009B4472"/>
    <w:rsid w:val="00E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BE635-51C3-4973-BAF0-69ED81B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B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3</cp:revision>
  <cp:lastPrinted>2018-10-18T07:22:00Z</cp:lastPrinted>
  <dcterms:created xsi:type="dcterms:W3CDTF">2018-10-18T07:20:00Z</dcterms:created>
  <dcterms:modified xsi:type="dcterms:W3CDTF">2018-10-18T07:25:00Z</dcterms:modified>
</cp:coreProperties>
</file>