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920"/>
        <w:gridCol w:w="3246"/>
        <w:gridCol w:w="688"/>
        <w:gridCol w:w="619"/>
        <w:gridCol w:w="866"/>
        <w:gridCol w:w="1697"/>
        <w:gridCol w:w="1381"/>
      </w:tblGrid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1412" w:type="dxa"/>
            <w:gridSpan w:val="2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RPr="005B0E14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Pr="005B0E14" w:rsidRDefault="00F2300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0E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B0E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B0E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B0E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B0E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0E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48" w:type="dxa"/>
            <w:shd w:val="clear" w:color="FFFFFF" w:fill="auto"/>
            <w:vAlign w:val="bottom"/>
          </w:tcPr>
          <w:p w:rsidR="007118BD" w:rsidRPr="005B0E14" w:rsidRDefault="007118BD">
            <w:pPr>
              <w:rPr>
                <w:lang w:val="en-US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7118BD" w:rsidRPr="005B0E14" w:rsidRDefault="007118BD">
            <w:pPr>
              <w:rPr>
                <w:lang w:val="en-US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:rsidR="007118BD" w:rsidRPr="005B0E14" w:rsidRDefault="007118BD">
            <w:pPr>
              <w:rPr>
                <w:lang w:val="en-US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118BD" w:rsidRPr="005B0E14" w:rsidRDefault="007118BD">
            <w:pPr>
              <w:rPr>
                <w:lang w:val="en-US"/>
              </w:rPr>
            </w:pPr>
          </w:p>
        </w:tc>
        <w:tc>
          <w:tcPr>
            <w:tcW w:w="1313" w:type="dxa"/>
            <w:shd w:val="clear" w:color="FFFFFF" w:fill="auto"/>
            <w:vAlign w:val="bottom"/>
          </w:tcPr>
          <w:p w:rsidR="007118BD" w:rsidRPr="005B0E14" w:rsidRDefault="007118BD">
            <w:pPr>
              <w:rPr>
                <w:lang w:val="en-US"/>
              </w:rPr>
            </w:pPr>
          </w:p>
        </w:tc>
      </w:tr>
      <w:tr w:rsidR="007118BD" w:rsidRPr="005B0E14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Pr="005B0E14" w:rsidRDefault="00F2300A">
            <w:pPr>
              <w:jc w:val="center"/>
              <w:rPr>
                <w:lang w:val="en-US"/>
              </w:rPr>
            </w:pPr>
            <w:r w:rsidRPr="005B0E1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Pr="005B0E14" w:rsidRDefault="007118BD">
            <w:pPr>
              <w:rPr>
                <w:lang w:val="en-US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7118BD" w:rsidRPr="005B0E14" w:rsidRDefault="007118BD">
            <w:pPr>
              <w:rPr>
                <w:lang w:val="en-US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:rsidR="007118BD" w:rsidRPr="005B0E14" w:rsidRDefault="007118BD">
            <w:pPr>
              <w:rPr>
                <w:lang w:val="en-US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118BD" w:rsidRPr="005B0E14" w:rsidRDefault="007118BD">
            <w:pPr>
              <w:rPr>
                <w:lang w:val="en-US"/>
              </w:rPr>
            </w:pPr>
          </w:p>
        </w:tc>
        <w:tc>
          <w:tcPr>
            <w:tcW w:w="1313" w:type="dxa"/>
            <w:shd w:val="clear" w:color="FFFFFF" w:fill="auto"/>
            <w:vAlign w:val="bottom"/>
          </w:tcPr>
          <w:p w:rsidR="007118BD" w:rsidRPr="005B0E14" w:rsidRDefault="007118BD">
            <w:pPr>
              <w:rPr>
                <w:lang w:val="en-US"/>
              </w:rPr>
            </w:pPr>
          </w:p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Default="005B0E14" w:rsidP="005B0E1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 w:rsidR="00F2300A">
              <w:rPr>
                <w:rFonts w:ascii="Times New Roman" w:hAnsi="Times New Roman"/>
                <w:sz w:val="24"/>
                <w:szCs w:val="24"/>
              </w:rPr>
              <w:t>2</w:t>
            </w:r>
            <w:r w:rsidR="00F2300A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1454-18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7118BD" w:rsidRDefault="007118BD"/>
        </w:tc>
        <w:tc>
          <w:tcPr>
            <w:tcW w:w="2063" w:type="dxa"/>
            <w:shd w:val="clear" w:color="FFFFFF" w:fill="auto"/>
            <w:vAlign w:val="bottom"/>
          </w:tcPr>
          <w:p w:rsidR="007118BD" w:rsidRDefault="007118BD"/>
        </w:tc>
        <w:tc>
          <w:tcPr>
            <w:tcW w:w="3085" w:type="dxa"/>
            <w:shd w:val="clear" w:color="FFFFFF" w:fill="auto"/>
            <w:vAlign w:val="bottom"/>
          </w:tcPr>
          <w:p w:rsidR="007118BD" w:rsidRDefault="007118BD"/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7118BD" w:rsidRDefault="007118BD"/>
        </w:tc>
        <w:tc>
          <w:tcPr>
            <w:tcW w:w="2063" w:type="dxa"/>
            <w:shd w:val="clear" w:color="FFFFFF" w:fill="auto"/>
            <w:vAlign w:val="bottom"/>
          </w:tcPr>
          <w:p w:rsidR="007118BD" w:rsidRDefault="007118BD"/>
        </w:tc>
        <w:tc>
          <w:tcPr>
            <w:tcW w:w="3085" w:type="dxa"/>
            <w:shd w:val="clear" w:color="FFFFFF" w:fill="auto"/>
            <w:vAlign w:val="bottom"/>
          </w:tcPr>
          <w:p w:rsidR="007118BD" w:rsidRDefault="007118BD"/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60" w:type="dxa"/>
            <w:gridSpan w:val="7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полового члена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из двух сложносоставных стержней,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покрытых двухслойной силиконовой оболочкой наличие. Полужесткая сгибаемая конструкция протеза. Возможные диаметры стержней 9,5мм; 11мм; 13 мм.  Гидрофильное покрытие стрежней протеза и прилагаемых колпачков, обеспечивающее абсорбцию антибактериальных раст</w:t>
            </w:r>
            <w:r>
              <w:rPr>
                <w:rFonts w:ascii="Times New Roman" w:hAnsi="Times New Roman"/>
                <w:sz w:val="24"/>
                <w:szCs w:val="24"/>
              </w:rPr>
              <w:t>воров перед имплантацией. Наличие спиралей из двух кордов из сплава титана и серебра с памятью формы. Длина спирали не более 1/2 от общей длины стержня протеза. Дистальные концы стержней конусовидной анатомической формы. Набор анатомических колпачков, уста</w:t>
            </w:r>
            <w:r>
              <w:rPr>
                <w:rFonts w:ascii="Times New Roman" w:hAnsi="Times New Roman"/>
                <w:sz w:val="24"/>
                <w:szCs w:val="24"/>
              </w:rPr>
              <w:t>навливающихся на проксимальный конец стержня протеза, не менее 6 шт. Возможность удлинения проксимального конца стержня протеза за счет колпачка на длины, не менее +0,5см; +1 см. Возможность персонализации стержней протеза, путем обрезания проксимальной 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сти. Мерная шкала, нанесённая на боковые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поверхности стержней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фаллопротеза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точного укорочения проксимальной части. На дистальной части стержней указан индивидуальный номер протеза, соответствующий наклейке для гарантии. Минимально возможная длина прот</w:t>
            </w:r>
            <w:r>
              <w:rPr>
                <w:rFonts w:ascii="Times New Roman" w:hAnsi="Times New Roman"/>
                <w:sz w:val="24"/>
                <w:szCs w:val="24"/>
              </w:rPr>
              <w:t>езов, не более 14 см.  Максимально возможная длина протезов, не менее 27 см. Двойная стерильная упаковка.</w:t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 двойной петлей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пиелопластики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СН8, длина 26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Пиелостент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установки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пиелопластики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открытый/открытый, длина 26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на петлях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усиленная лоханочная часть (утолщение)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12, материал мягкий силикон, длительность имплантации 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длина 150см, диаметр 0,03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5", материал сталь с тефлоновым покрытием; присоединяющийся толкатель, позволяющий изменять 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двух направлениях.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с подвижным сердечником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тефлоновым покрытием, тип проводника - прямой наконечник, проводник с подвижным сердечником, длина проводника 150 см, диаметр 0,035", жесткость - стандартная.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Одноразовый.</w:t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Проводник-струна для установки катетеров. Изготовлен из нержавеющей стали, с тефлоновым покрытием, диаметром 0,035 дюйма. Длина 100 см, с прямым наконечником и неподвижным сердечником, жесткой частью 30 см, гибкой частью 7 см. К</w:t>
            </w:r>
            <w:r>
              <w:rPr>
                <w:rFonts w:ascii="Times New Roman" w:hAnsi="Times New Roman"/>
                <w:sz w:val="24"/>
                <w:szCs w:val="24"/>
              </w:rPr>
              <w:t>омпактная стерильная упаковка. Не содержит латекса.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сверхжесткий с покрытием ПТФЭ 0,035"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повышенной жесткости для получения доступа к мочевыводящим путям и почкам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следующие  конструктивные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особенности: сердечник проводни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изготовлен из стали или материала с аналогичными 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политетрафторэтилена или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атериала с аналогичными свойствами. Дистальный кончик проводника прямой. Диаметр проводника 0.035". Длина проводника не менее 142,5 см и не более 147,5 см. Стерильный. Одноразовый.</w:t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ПТФЭ-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и гибким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проксимальным концом 0,035"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</w:t>
            </w:r>
            <w:r>
              <w:rPr>
                <w:rFonts w:ascii="Times New Roman" w:hAnsi="Times New Roman"/>
                <w:sz w:val="24"/>
                <w:szCs w:val="24"/>
              </w:rPr>
              <w:t>проводника, должны быть предусмотрены как минимум следующие  конструктивные особенности: сердечник проводника изготовлен из сплава никеля и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материала с аналогичными свойствами для обеспечения стойкости к излому и улучшения управления;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проводник имеет 3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 и 5 см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гидрофильное покрытие; проксимальный кончик проводника гибкий для предотвращения повреждения канала эндоскопа; внешний кожух проводника выполнен из политетрафторэтилена или материала с анал</w:t>
            </w:r>
            <w:r>
              <w:rPr>
                <w:rFonts w:ascii="Times New Roman" w:hAnsi="Times New Roman"/>
                <w:sz w:val="24"/>
                <w:szCs w:val="24"/>
              </w:rPr>
              <w:t>огичными свойствами. Дистальный кончик проводника прямой. Диаметр проводника 0.035". Длина проводника не менее 145 см и не более 155 см. Стерильный. Одноразовый.</w:t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26 см, длительной имплантации 12 месяцев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время 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 дизурии, должны быть предусмотрены как минимум следующие конструктивные особенности: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биосовместимым с возможностью нахождения в теле пациента не менее 365 дней;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становиться мягче при нагревании до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повышенная дренирующая способность по сравнению со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 инкрустации и облегчающее установку; дистальный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мочевого пузыря должен быть мягче материала со стороны почки. Перфорации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спирально расп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оложенные.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25,5 и не более 26,5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Одноразовый.</w:t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07 длительной имплантации 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месяцев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двойная петля для внутреннего дренирования верхних отделов мочевыводящей системы, открытый/закрытый, длина 26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петлях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жесткий, длина 150см, диаметр 0,035", материал сталь с тефлоновым покрытием; соединяющийся толкатель, позволяющий перемещать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двух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имеющий двухслойную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металлический стилет, переходник для мочеприемника,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25 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),имеющий двухслойную структуру - внутренний слой 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кий, для лучшего проведения по проводнику, наружный слой мягкий, для комфорта пациента,  длительность имплантации до 12 месяцев; металлический стилет, переходник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5B0E14">
            <w:pPr>
              <w:jc w:val="center"/>
            </w:pPr>
            <w:r>
              <w:t>11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двухходовый, 100% силикон, имплантация до 90 суток</w:t>
            </w:r>
          </w:p>
        </w:tc>
        <w:tc>
          <w:tcPr>
            <w:tcW w:w="3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 из прозрачного 100% силикона,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закрытый дистальный конец и не менее двух боковых отверстий.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Дистальный конец катетера должен быть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Коннектор должен подходить к мочеприемникам любого типа. Тройная стерилизация катетера, длительность использования до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F230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18BD" w:rsidRDefault="007118BD">
            <w:pPr>
              <w:jc w:val="center"/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39" w:type="dxa"/>
            <w:shd w:val="clear" w:color="FFFFFF" w:fill="auto"/>
            <w:vAlign w:val="bottom"/>
          </w:tcPr>
          <w:p w:rsidR="007118BD" w:rsidRDefault="007118BD"/>
        </w:tc>
        <w:tc>
          <w:tcPr>
            <w:tcW w:w="2063" w:type="dxa"/>
            <w:shd w:val="clear" w:color="FFFFFF" w:fill="auto"/>
            <w:vAlign w:val="bottom"/>
          </w:tcPr>
          <w:p w:rsidR="007118BD" w:rsidRDefault="007118BD"/>
        </w:tc>
        <w:tc>
          <w:tcPr>
            <w:tcW w:w="3085" w:type="dxa"/>
            <w:shd w:val="clear" w:color="FFFFFF" w:fill="auto"/>
            <w:vAlign w:val="bottom"/>
          </w:tcPr>
          <w:p w:rsidR="007118BD" w:rsidRDefault="007118BD"/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18BD" w:rsidRDefault="00F2300A" w:rsidP="005B0E14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5B0E14">
              <w:rPr>
                <w:rFonts w:ascii="Times New Roman" w:hAnsi="Times New Roman"/>
                <w:sz w:val="28"/>
                <w:szCs w:val="28"/>
              </w:rPr>
              <w:t>2019 год, по потребности Заказчика.</w:t>
            </w:r>
          </w:p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39" w:type="dxa"/>
            <w:shd w:val="clear" w:color="FFFFFF" w:fill="auto"/>
            <w:vAlign w:val="bottom"/>
          </w:tcPr>
          <w:p w:rsidR="007118BD" w:rsidRDefault="007118BD"/>
        </w:tc>
        <w:tc>
          <w:tcPr>
            <w:tcW w:w="2063" w:type="dxa"/>
            <w:shd w:val="clear" w:color="FFFFFF" w:fill="auto"/>
            <w:vAlign w:val="bottom"/>
          </w:tcPr>
          <w:p w:rsidR="007118BD" w:rsidRDefault="007118BD"/>
        </w:tc>
        <w:tc>
          <w:tcPr>
            <w:tcW w:w="3085" w:type="dxa"/>
            <w:shd w:val="clear" w:color="FFFFFF" w:fill="auto"/>
            <w:vAlign w:val="bottom"/>
          </w:tcPr>
          <w:p w:rsidR="007118BD" w:rsidRDefault="007118BD"/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18BD" w:rsidRDefault="00F230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39" w:type="dxa"/>
            <w:shd w:val="clear" w:color="FFFFFF" w:fill="auto"/>
            <w:vAlign w:val="bottom"/>
          </w:tcPr>
          <w:p w:rsidR="007118BD" w:rsidRDefault="007118BD"/>
        </w:tc>
        <w:tc>
          <w:tcPr>
            <w:tcW w:w="2063" w:type="dxa"/>
            <w:shd w:val="clear" w:color="FFFFFF" w:fill="auto"/>
            <w:vAlign w:val="bottom"/>
          </w:tcPr>
          <w:p w:rsidR="007118BD" w:rsidRDefault="007118BD"/>
        </w:tc>
        <w:tc>
          <w:tcPr>
            <w:tcW w:w="3085" w:type="dxa"/>
            <w:shd w:val="clear" w:color="FFFFFF" w:fill="auto"/>
            <w:vAlign w:val="bottom"/>
          </w:tcPr>
          <w:p w:rsidR="007118BD" w:rsidRDefault="007118BD"/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18BD" w:rsidRDefault="00F230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39" w:type="dxa"/>
            <w:shd w:val="clear" w:color="FFFFFF" w:fill="auto"/>
            <w:vAlign w:val="bottom"/>
          </w:tcPr>
          <w:p w:rsidR="007118BD" w:rsidRDefault="007118BD"/>
        </w:tc>
        <w:tc>
          <w:tcPr>
            <w:tcW w:w="2063" w:type="dxa"/>
            <w:shd w:val="clear" w:color="FFFFFF" w:fill="auto"/>
            <w:vAlign w:val="bottom"/>
          </w:tcPr>
          <w:p w:rsidR="007118BD" w:rsidRDefault="007118BD"/>
        </w:tc>
        <w:tc>
          <w:tcPr>
            <w:tcW w:w="3085" w:type="dxa"/>
            <w:shd w:val="clear" w:color="FFFFFF" w:fill="auto"/>
            <w:vAlign w:val="bottom"/>
          </w:tcPr>
          <w:p w:rsidR="007118BD" w:rsidRDefault="007118BD"/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18BD" w:rsidRDefault="00F2300A" w:rsidP="005B0E1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5B0E1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.12.2018 17:00:00 по местному времени.</w:t>
            </w:r>
          </w:p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7118BD" w:rsidRDefault="007118BD"/>
        </w:tc>
        <w:tc>
          <w:tcPr>
            <w:tcW w:w="2063" w:type="dxa"/>
            <w:shd w:val="clear" w:color="FFFFFF" w:fill="auto"/>
            <w:vAlign w:val="bottom"/>
          </w:tcPr>
          <w:p w:rsidR="007118BD" w:rsidRDefault="007118BD"/>
        </w:tc>
        <w:tc>
          <w:tcPr>
            <w:tcW w:w="3085" w:type="dxa"/>
            <w:shd w:val="clear" w:color="FFFFFF" w:fill="auto"/>
            <w:vAlign w:val="bottom"/>
          </w:tcPr>
          <w:p w:rsidR="007118BD" w:rsidRDefault="007118BD"/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18BD" w:rsidRDefault="00F2300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7118BD" w:rsidRDefault="007118BD"/>
        </w:tc>
        <w:tc>
          <w:tcPr>
            <w:tcW w:w="2063" w:type="dxa"/>
            <w:shd w:val="clear" w:color="FFFFFF" w:fill="auto"/>
            <w:vAlign w:val="bottom"/>
          </w:tcPr>
          <w:p w:rsidR="007118BD" w:rsidRDefault="007118BD"/>
        </w:tc>
        <w:tc>
          <w:tcPr>
            <w:tcW w:w="3085" w:type="dxa"/>
            <w:shd w:val="clear" w:color="FFFFFF" w:fill="auto"/>
            <w:vAlign w:val="bottom"/>
          </w:tcPr>
          <w:p w:rsidR="007118BD" w:rsidRDefault="007118BD"/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7118BD" w:rsidRDefault="007118BD"/>
        </w:tc>
        <w:tc>
          <w:tcPr>
            <w:tcW w:w="2063" w:type="dxa"/>
            <w:shd w:val="clear" w:color="FFFFFF" w:fill="auto"/>
            <w:vAlign w:val="bottom"/>
          </w:tcPr>
          <w:p w:rsidR="007118BD" w:rsidRDefault="007118BD"/>
        </w:tc>
        <w:tc>
          <w:tcPr>
            <w:tcW w:w="3085" w:type="dxa"/>
            <w:shd w:val="clear" w:color="FFFFFF" w:fill="auto"/>
            <w:vAlign w:val="bottom"/>
          </w:tcPr>
          <w:p w:rsidR="007118BD" w:rsidRDefault="007118BD"/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7118BD" w:rsidRDefault="007118BD"/>
        </w:tc>
        <w:tc>
          <w:tcPr>
            <w:tcW w:w="2063" w:type="dxa"/>
            <w:shd w:val="clear" w:color="FFFFFF" w:fill="auto"/>
            <w:vAlign w:val="bottom"/>
          </w:tcPr>
          <w:p w:rsidR="007118BD" w:rsidRDefault="007118BD"/>
        </w:tc>
        <w:tc>
          <w:tcPr>
            <w:tcW w:w="3085" w:type="dxa"/>
            <w:shd w:val="clear" w:color="FFFFFF" w:fill="auto"/>
            <w:vAlign w:val="bottom"/>
          </w:tcPr>
          <w:p w:rsidR="007118BD" w:rsidRDefault="007118BD"/>
        </w:tc>
        <w:tc>
          <w:tcPr>
            <w:tcW w:w="948" w:type="dxa"/>
            <w:shd w:val="clear" w:color="FFFFFF" w:fill="auto"/>
            <w:vAlign w:val="bottom"/>
          </w:tcPr>
          <w:p w:rsidR="007118BD" w:rsidRDefault="007118BD"/>
        </w:tc>
        <w:tc>
          <w:tcPr>
            <w:tcW w:w="603" w:type="dxa"/>
            <w:shd w:val="clear" w:color="FFFFFF" w:fill="auto"/>
            <w:vAlign w:val="bottom"/>
          </w:tcPr>
          <w:p w:rsidR="007118BD" w:rsidRDefault="007118BD"/>
        </w:tc>
        <w:tc>
          <w:tcPr>
            <w:tcW w:w="809" w:type="dxa"/>
            <w:shd w:val="clear" w:color="FFFFFF" w:fill="auto"/>
            <w:vAlign w:val="bottom"/>
          </w:tcPr>
          <w:p w:rsidR="007118BD" w:rsidRDefault="007118BD"/>
        </w:tc>
        <w:tc>
          <w:tcPr>
            <w:tcW w:w="1613" w:type="dxa"/>
            <w:shd w:val="clear" w:color="FFFFFF" w:fill="auto"/>
            <w:vAlign w:val="bottom"/>
          </w:tcPr>
          <w:p w:rsidR="007118BD" w:rsidRDefault="007118BD"/>
        </w:tc>
        <w:tc>
          <w:tcPr>
            <w:tcW w:w="1313" w:type="dxa"/>
            <w:shd w:val="clear" w:color="FFFFFF" w:fill="auto"/>
            <w:vAlign w:val="bottom"/>
          </w:tcPr>
          <w:p w:rsidR="007118BD" w:rsidRDefault="007118BD"/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18BD" w:rsidRDefault="00F2300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18BD" w:rsidTr="005B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18BD" w:rsidRDefault="005B0E14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F2300A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000000" w:rsidRDefault="00F230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18BD"/>
    <w:rsid w:val="005B0E14"/>
    <w:rsid w:val="007118BD"/>
    <w:rsid w:val="00F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0E738-E515-4A97-8CDB-FDDF8F1F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2018-12-10T12:37:00Z</dcterms:created>
  <dcterms:modified xsi:type="dcterms:W3CDTF">2018-12-10T12:43:00Z</dcterms:modified>
</cp:coreProperties>
</file>