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72"/>
        <w:gridCol w:w="1596"/>
        <w:gridCol w:w="127"/>
        <w:gridCol w:w="2149"/>
        <w:gridCol w:w="702"/>
        <w:gridCol w:w="400"/>
        <w:gridCol w:w="489"/>
        <w:gridCol w:w="85"/>
        <w:gridCol w:w="807"/>
        <w:gridCol w:w="230"/>
        <w:gridCol w:w="489"/>
        <w:gridCol w:w="694"/>
        <w:gridCol w:w="901"/>
        <w:gridCol w:w="231"/>
        <w:gridCol w:w="1067"/>
      </w:tblGrid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413" w:type="dxa"/>
            <w:gridSpan w:val="3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RP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Pr="001C7B38" w:rsidRDefault="001C7B3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7B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7B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7B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</w:tr>
      <w:tr w:rsidR="001E65ED" w:rsidRP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Pr="001C7B38" w:rsidRDefault="001C7B38">
            <w:pPr>
              <w:jc w:val="center"/>
              <w:rPr>
                <w:lang w:val="en-US"/>
              </w:rPr>
            </w:pPr>
            <w:r w:rsidRPr="001C7B3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Pr="001C7B38" w:rsidRDefault="001E65ED">
            <w:pPr>
              <w:rPr>
                <w:lang w:val="en-US"/>
              </w:rPr>
            </w:pPr>
          </w:p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 w:rsidP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№.1458-18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shd w:val="clear" w:color="FFFFFF" w:fill="auto"/>
            <w:vAlign w:val="bottom"/>
          </w:tcPr>
          <w:p w:rsidR="001E65ED" w:rsidRDefault="001E65ED"/>
        </w:tc>
        <w:tc>
          <w:tcPr>
            <w:tcW w:w="2093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3420" w:type="dxa"/>
            <w:gridSpan w:val="4"/>
            <w:shd w:val="clear" w:color="FFFFFF" w:fill="auto"/>
            <w:vAlign w:val="bottom"/>
          </w:tcPr>
          <w:p w:rsidR="001E65ED" w:rsidRDefault="001E65ED"/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51" w:type="dxa"/>
            <w:gridSpan w:val="7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shd w:val="clear" w:color="FFFFFF" w:fill="auto"/>
            <w:vAlign w:val="bottom"/>
          </w:tcPr>
          <w:p w:rsidR="001E65ED" w:rsidRDefault="001E65ED"/>
        </w:tc>
        <w:tc>
          <w:tcPr>
            <w:tcW w:w="2093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3420" w:type="dxa"/>
            <w:gridSpan w:val="4"/>
            <w:shd w:val="clear" w:color="FFFFFF" w:fill="auto"/>
            <w:vAlign w:val="bottom"/>
          </w:tcPr>
          <w:p w:rsidR="001E65ED" w:rsidRDefault="001E65ED"/>
        </w:tc>
        <w:tc>
          <w:tcPr>
            <w:tcW w:w="581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603" w:type="dxa"/>
            <w:shd w:val="clear" w:color="FFFFFF" w:fill="auto"/>
            <w:vAlign w:val="bottom"/>
          </w:tcPr>
          <w:p w:rsidR="001E65ED" w:rsidRDefault="001E65ED"/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614" w:type="dxa"/>
            <w:gridSpan w:val="2"/>
            <w:shd w:val="clear" w:color="FFFFFF" w:fill="auto"/>
            <w:vAlign w:val="bottom"/>
          </w:tcPr>
          <w:p w:rsidR="001E65ED" w:rsidRDefault="001E65ED"/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9" w:type="dxa"/>
            <w:gridSpan w:val="14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14" w:type="dxa"/>
            <w:gridSpan w:val="2"/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двухканальным ЦВК 7Fr/16G-16G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контрастный полиуретан. Состав набора: двухканальный катетер с несмываемой разметко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цельнолитой. Проводник металлический гибкий с маркировкой по длине, с J-образным кончиком, в круглом футляр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дилататором, для пациентов с увеличенной толщиной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тканей, с трубкой 8.0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Специализированный 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удлиненным дилататором для пациентов с ожирением, «бычьей» шеей и другими вариантами измененной анатомии с 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еличением толщины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до 55 мм. Состав: скальпель; удлиненная пункционная игла 14G с канюлей и  несмываемой маркировкой не более чем через каждые 10 мм, длина рабочей части канюли не менее 80 мм  с устройством для защиты от укола иглой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утилизации; шприц трёхкомпонентный объёмом не менее 10 мл для выполнения аспирационной пробы; удлиненный гибкий проводник; конусный дилататор с разметкой глубины введения не более чем через каждые 10 мм и изогнутый металлический зажим для первоначальной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дилатации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тканей; катетер проводник; изогнутый дилататор S-образной формы, размер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эргономичная форма рукоятки, гидрофильное покрытие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введения, разметка для определения глубины введения – метка для эндоскопического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одтверждения и три метки на глубине 30, 40 и 50 мм;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внутренним диаметром не более 8.0, наружным диаметром не более  12,6 мм, армированная с регулируемым положением шейного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фланца,с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дисконнекции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любрикантом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облегчения введения; обтуратор с внутренним каналом; гибкая внутренняя канюля; тесьма для фиксации трубки; ершик для очистки.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16, длина 55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трахеобронхиального дерева, размер СН 16,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</w:t>
            </w:r>
            <w:r>
              <w:rPr>
                <w:rFonts w:ascii="Times New Roman" w:hAnsi="Times New Roman"/>
                <w:sz w:val="24"/>
                <w:szCs w:val="24"/>
              </w:rPr>
              <w:t>градуирован, шаг градуировки - 1 см. Доступ аспирационного катетера в промывочную камеру регулируется специальной ручкой, показывающей положение клапана промывочной камеры: открыто/закрыто. На одном уровне с ручкой в перпендикулярной плоскости располагаетс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проксимальном конце системы - прозрачный Т-образный узел для соед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инения с дыхательным контуром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трубкой. Дистальный конец - центр управления вакуумной аспирацией. Помимо аспирационной,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"МАКИНТОШ", одноразовый, 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- проведение прямой ларингоскопии и интубации трахеи. Совместим с оригинальным замком рукояти стандарта DIN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Заказчика.Материал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клинка: пластик(полиамид).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Размеры:длина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22 мм.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не менее 8 700 люкс / 3,5 B. Форма клинка должна соответствовать требованиям стандарта DIN EN ISO 7376-3.Индивидуальная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"МИЛЛЕР", одноразовый, 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прямой ларингоскопии и интубации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трахеи.Совместим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оригинальным замком рукояти стандарта DIN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 Материал клинка</w:t>
            </w:r>
            <w:r>
              <w:rPr>
                <w:rFonts w:ascii="Times New Roman" w:hAnsi="Times New Roman"/>
                <w:sz w:val="24"/>
                <w:szCs w:val="24"/>
              </w:rPr>
              <w:t>: пластик (полиамид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15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не менее 8 700 люкс / 3,5 B. Форма клинка должна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стандарта DIN EN ISO 7376-3.Индивидуальная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 с преобразователем одинарный, артериальный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артерий 20G/80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инвазивного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поверхностью, полностью совместим с тканям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диаметру катетера.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боковых отверстий.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стерилизация катетера, длительность использования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двухходовый, 100% силикон, с уретральными бороздками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14, двухходовый, изготовлен из 100% силикона, с продольными бороздками для отхождения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секрета. Длина не менее 41 см. Размер баллона не менее 10 мл.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полосой вдоль стержня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наконечником, в комплекте со шприцем, заполненным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стерильным  раствором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баллона.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одноразовый для почасового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закрытая стерильная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вертикального дизайна -комбинированный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приводной трубкой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и сборным мешком. Емкость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мл, в центре - измерительный 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линдр емкостью до 40 мл с 3 отверстиями на лицевой его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внешней спиралью в месте крепления к измерительной камере.  На дистальном конце приводной трубки -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 для взятия проб мочи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кремальерная клипса. Между приводной трубкой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располагается капельная камера, над ней предусмотрен кран с маркировкой положений "открыто/закрыто".  Мешок для сбора мочи объемом до 2000 мл, градуирован, имеет специальное отверстие для зак</w:t>
            </w:r>
            <w:r>
              <w:rPr>
                <w:rFonts w:ascii="Times New Roman" w:hAnsi="Times New Roman"/>
                <w:sz w:val="24"/>
                <w:szCs w:val="24"/>
              </w:rPr>
              <w:t>репления сливного крана, размеры 34х19. Тип сливного крана - крестообразный, быстрого слива, расположен по нижнему краю сборного мешка, смещен от его центра. Два невозвратных клапана и 2 встроенных гидрофобных антибактериальных фильтра. Время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одного пациента - не более 7 дней. Комплектация: 1 прочный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шнур, 2 ремня, 1 встроенный крючок на задней панели.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для энтерального питания СН 12, длина 100 см, стилет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энтерального питания. Материал – мягкий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полиуретан. Гибкая полиуретановая олива на конце с двумя боковыми отверстиями. Просвет не перекрывается при скручивании. Прозрачный полиуретан,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нестираемые метки длины с интервалом 10 см, полый стилет из нержавеющей стали с разъе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обработанный силиконовой смазкой; конусообразное соединение с двойной крышкой, состоящей из перфорированной части с возможностью подсоединения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крышки, герметично закрывающей систему. В комплект входит универсальный конусовидный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с интегрированным шприцевым адаптером. Размеры: наружный Ø СН 12.0/3,6 мм, внутренний Ø – 2,8 мм; эффективная длина – 100 см. Предназначен для длительного использования. Максимальный срок использования не менее 30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гидроколлоидная 10 х 10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самоклеющаяся, впитывающая гидроколлоидная повязка, покрытая полупроницаемым слоем, для предотвращения проникновения бактерий. Формируется по контуру тела, удаляется безболезненно. Гидроколлоидная структура, состоящая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 содержит компоненты животного происхождения. Впитывающая способность (24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дуальная упаковка каждой повязки. Размер 10 х 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антимикробная для фиксации катетеров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Tegaderm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CHG - пленочная прозрачная наклейка для фиксации катетеров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х 8.5 см. Сочетает в себе эффективную антимикробную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глюконата и доказанную барьерную функцию пленки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Tegaderm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полностью соответствует современным российским, международным клиническим рекомендациям и ГОСТам. Соответствует требованием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2630-10. Стерильная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Tegaderm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CHG осущес</w:t>
            </w:r>
            <w:r>
              <w:rPr>
                <w:rFonts w:ascii="Times New Roman" w:hAnsi="Times New Roman"/>
                <w:sz w:val="24"/>
                <w:szCs w:val="24"/>
              </w:rPr>
              <w:t>твляет комбинированную защиту: подавляет рост кожной микрофлоры пациента и обеспечивает барьерную функцию, защищает от микроорганизмов из внешней среды. Осуществляет антимикробную активность широкого спектра действия против микроорганизмов, вызывающих КАИК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(катетер ассоциированные инфекции кровотока). Продуманный дизайн наклейки оптимально подходит для наложения, минимизирует вероятность ошибки, позволяет соблюсти асептику. Впитывающая структура глеевой подушечки снижают частоту смены повязки. Снижение част</w:t>
            </w:r>
            <w:r>
              <w:rPr>
                <w:rFonts w:ascii="Times New Roman" w:hAnsi="Times New Roman"/>
                <w:sz w:val="24"/>
                <w:szCs w:val="24"/>
              </w:rPr>
              <w:t>оты смещения катетера обеспечивается за счёт удобного выреза и усиленной пластырной окантовки. В комплект повязки входят дополнительные пластырные полоски для фиксации линий катетера и указания даты. Стерильная, водонепроницаемая, дышащая пленка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непроницаемый барьер для жидкостей, бактерий и вирусов. Рекомендуемые области применения: Центральные венозные катетеры (ЦВК) различной локализации, Внутренняя яремная вена,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Подключичная вена, Бедренная вена,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Периферически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вводимые центральные венозные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катетеры (PICC), Туннелируемые центральные катетеры, Катетеры для перитонеального диализа,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катетеры, Артериальные катетеры. Рекомендуемая частота замены повязки: 1 раз в 7 суток. Комплектация: 25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7.5 мм, внешний диаметр 10.0 мм, диаметр манжеты 26.0 мм. Длина без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330±5 мм. Внутренний стилет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8,0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8.0 мм, внешний диаметр 10.7 мм, диаметр манжеты 26.0 мм. Длина без коннектора 340±2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стилет для интуба</w:t>
            </w:r>
            <w:r>
              <w:rPr>
                <w:rFonts w:ascii="Times New Roman" w:hAnsi="Times New Roman"/>
                <w:sz w:val="24"/>
                <w:szCs w:val="24"/>
              </w:rPr>
              <w:t>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Тепловлагообменник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трахеоканюли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у больных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Тепловлагообменник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Hydro-Trach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Mk.II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от STOMYNET + кислородный шланг. Для пациентов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сохранения тепла и влаги в дыхательном газе при спонтанном дыхании, плюс кислородный шланг. Максимальный период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ания устройства – 24 часа.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E65ED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мониторинга для определения концентрации ингаляционных анестетиков и СО2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42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Описание: линия мониторинга концентрации ингаляционных анестетиков и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1,8 м с внутренним диаметром 1,2 мм, с соединениями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M. Срок годности: 5 лет от даты изготовления. Клинически чисто, не содержит латекса, в индивидуальной упаковке, однократного применения.</w:t>
            </w:r>
          </w:p>
        </w:tc>
        <w:tc>
          <w:tcPr>
            <w:tcW w:w="58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C7B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6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5ED" w:rsidRDefault="001E65ED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65ED" w:rsidRDefault="001E65ED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C7B38" w:rsidRDefault="001C7B38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C7B38" w:rsidRDefault="001C7B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C7B38" w:rsidRDefault="001C7B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C7B38" w:rsidRDefault="001C7B3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12.12.2018 17:00:00 по местному времени.</w:t>
            </w:r>
          </w:p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C7B38" w:rsidRDefault="001C7B3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7" w:type="dxa"/>
            <w:gridSpan w:val="2"/>
            <w:vAlign w:val="bottom"/>
          </w:tcPr>
          <w:p w:rsidR="001C7B38" w:rsidRDefault="001C7B38"/>
        </w:tc>
        <w:tc>
          <w:tcPr>
            <w:tcW w:w="1771" w:type="dxa"/>
            <w:gridSpan w:val="2"/>
            <w:vAlign w:val="bottom"/>
          </w:tcPr>
          <w:p w:rsidR="001C7B38" w:rsidRDefault="001C7B38"/>
        </w:tc>
        <w:tc>
          <w:tcPr>
            <w:tcW w:w="2158" w:type="dxa"/>
            <w:vAlign w:val="bottom"/>
          </w:tcPr>
          <w:p w:rsidR="001C7B38" w:rsidRDefault="001C7B38"/>
        </w:tc>
        <w:tc>
          <w:tcPr>
            <w:tcW w:w="775" w:type="dxa"/>
            <w:vAlign w:val="bottom"/>
          </w:tcPr>
          <w:p w:rsidR="001C7B38" w:rsidRDefault="001C7B38"/>
        </w:tc>
        <w:tc>
          <w:tcPr>
            <w:tcW w:w="860" w:type="dxa"/>
            <w:gridSpan w:val="2"/>
            <w:vAlign w:val="bottom"/>
          </w:tcPr>
          <w:p w:rsidR="001C7B38" w:rsidRDefault="001C7B38"/>
        </w:tc>
        <w:tc>
          <w:tcPr>
            <w:tcW w:w="948" w:type="dxa"/>
            <w:gridSpan w:val="3"/>
            <w:vAlign w:val="bottom"/>
          </w:tcPr>
          <w:p w:rsidR="001C7B38" w:rsidRDefault="001C7B38"/>
        </w:tc>
        <w:tc>
          <w:tcPr>
            <w:tcW w:w="1267" w:type="dxa"/>
            <w:gridSpan w:val="2"/>
            <w:vAlign w:val="bottom"/>
          </w:tcPr>
          <w:p w:rsidR="001C7B38" w:rsidRDefault="001C7B38"/>
        </w:tc>
        <w:tc>
          <w:tcPr>
            <w:tcW w:w="1143" w:type="dxa"/>
            <w:gridSpan w:val="2"/>
            <w:vAlign w:val="bottom"/>
          </w:tcPr>
          <w:p w:rsidR="001C7B38" w:rsidRDefault="001C7B38"/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C7B38" w:rsidRDefault="001C7B3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7B38" w:rsidTr="001C7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1C7B38" w:rsidRDefault="001C7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1C7B38" w:rsidRDefault="001C7B38" w:rsidP="001C7B38"/>
    <w:p w:rsidR="00000000" w:rsidRDefault="001C7B3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5ED"/>
    <w:rsid w:val="001C7B38"/>
    <w:rsid w:val="001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985F6-7EAF-4DA4-8F79-2B6D1BE5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2365</Words>
  <Characters>13483</Characters>
  <Application>Microsoft Office Word</Application>
  <DocSecurity>0</DocSecurity>
  <Lines>112</Lines>
  <Paragraphs>31</Paragraphs>
  <ScaleCrop>false</ScaleCrop>
  <Company/>
  <LinksUpToDate>false</LinksUpToDate>
  <CharactersWithSpaces>15817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2018-12-11T07:29:00Z</dcterms:created>
  <dcterms:modified xsi:type="dcterms:W3CDTF">2018-12-11T07:31:00Z</dcterms:modified>
</cp:coreProperties>
</file>