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2436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2408"/>
        <w:gridCol w:w="3967"/>
        <w:gridCol w:w="471"/>
        <w:gridCol w:w="694"/>
        <w:gridCol w:w="791"/>
        <w:gridCol w:w="1697"/>
        <w:gridCol w:w="1381"/>
        <w:gridCol w:w="4009"/>
        <w:gridCol w:w="2248"/>
        <w:gridCol w:w="2251"/>
        <w:gridCol w:w="384"/>
        <w:gridCol w:w="493"/>
        <w:gridCol w:w="716"/>
        <w:gridCol w:w="1379"/>
        <w:gridCol w:w="1123"/>
      </w:tblGrid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6161" w:type="dxa"/>
            <w:gridSpan w:val="3"/>
            <w:shd w:val="clear" w:color="FFFFFF" w:fill="auto"/>
            <w:vAlign w:val="bottom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32" w:type="dxa"/>
            <w:shd w:val="clear" w:color="FFFFFF" w:fill="auto"/>
            <w:vAlign w:val="bottom"/>
          </w:tcPr>
          <w:p w:rsidR="00443638" w:rsidRDefault="00443638"/>
        </w:tc>
        <w:tc>
          <w:tcPr>
            <w:tcW w:w="1361" w:type="dxa"/>
            <w:gridSpan w:val="2"/>
            <w:shd w:val="clear" w:color="FFFFFF" w:fill="auto"/>
            <w:vAlign w:val="bottom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443638" w:rsidRDefault="00443638"/>
        </w:tc>
        <w:tc>
          <w:tcPr>
            <w:tcW w:w="1265" w:type="dxa"/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6161" w:type="dxa"/>
            <w:gridSpan w:val="3"/>
            <w:shd w:val="clear" w:color="FFFFFF" w:fill="auto"/>
            <w:vAlign w:val="bottom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32" w:type="dxa"/>
            <w:shd w:val="clear" w:color="FFFFFF" w:fill="auto"/>
            <w:vAlign w:val="bottom"/>
          </w:tcPr>
          <w:p w:rsidR="00443638" w:rsidRDefault="00443638"/>
        </w:tc>
        <w:tc>
          <w:tcPr>
            <w:tcW w:w="642" w:type="dxa"/>
            <w:shd w:val="clear" w:color="FFFFFF" w:fill="auto"/>
            <w:vAlign w:val="bottom"/>
          </w:tcPr>
          <w:p w:rsidR="00443638" w:rsidRDefault="00443638"/>
        </w:tc>
        <w:tc>
          <w:tcPr>
            <w:tcW w:w="719" w:type="dxa"/>
            <w:shd w:val="clear" w:color="FFFFFF" w:fill="auto"/>
            <w:vAlign w:val="bottom"/>
          </w:tcPr>
          <w:p w:rsidR="00443638" w:rsidRDefault="00443638"/>
        </w:tc>
        <w:tc>
          <w:tcPr>
            <w:tcW w:w="1554" w:type="dxa"/>
            <w:shd w:val="clear" w:color="FFFFFF" w:fill="auto"/>
            <w:vAlign w:val="bottom"/>
          </w:tcPr>
          <w:p w:rsidR="00443638" w:rsidRDefault="00443638"/>
        </w:tc>
        <w:tc>
          <w:tcPr>
            <w:tcW w:w="1265" w:type="dxa"/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6161" w:type="dxa"/>
            <w:gridSpan w:val="3"/>
            <w:shd w:val="clear" w:color="FFFFFF" w:fill="auto"/>
            <w:vAlign w:val="bottom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32" w:type="dxa"/>
            <w:shd w:val="clear" w:color="FFFFFF" w:fill="auto"/>
            <w:vAlign w:val="bottom"/>
          </w:tcPr>
          <w:p w:rsidR="00443638" w:rsidRDefault="00443638"/>
        </w:tc>
        <w:tc>
          <w:tcPr>
            <w:tcW w:w="642" w:type="dxa"/>
            <w:shd w:val="clear" w:color="FFFFFF" w:fill="auto"/>
            <w:vAlign w:val="bottom"/>
          </w:tcPr>
          <w:p w:rsidR="00443638" w:rsidRDefault="00443638"/>
        </w:tc>
        <w:tc>
          <w:tcPr>
            <w:tcW w:w="719" w:type="dxa"/>
            <w:shd w:val="clear" w:color="FFFFFF" w:fill="auto"/>
            <w:vAlign w:val="bottom"/>
          </w:tcPr>
          <w:p w:rsidR="00443638" w:rsidRDefault="00443638"/>
        </w:tc>
        <w:tc>
          <w:tcPr>
            <w:tcW w:w="1554" w:type="dxa"/>
            <w:shd w:val="clear" w:color="FFFFFF" w:fill="auto"/>
            <w:vAlign w:val="bottom"/>
          </w:tcPr>
          <w:p w:rsidR="00443638" w:rsidRDefault="00443638"/>
        </w:tc>
        <w:tc>
          <w:tcPr>
            <w:tcW w:w="1265" w:type="dxa"/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6161" w:type="dxa"/>
            <w:gridSpan w:val="3"/>
            <w:shd w:val="clear" w:color="FFFFFF" w:fill="auto"/>
            <w:vAlign w:val="bottom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32" w:type="dxa"/>
            <w:shd w:val="clear" w:color="FFFFFF" w:fill="auto"/>
            <w:vAlign w:val="bottom"/>
          </w:tcPr>
          <w:p w:rsidR="00443638" w:rsidRDefault="00443638"/>
        </w:tc>
        <w:tc>
          <w:tcPr>
            <w:tcW w:w="642" w:type="dxa"/>
            <w:shd w:val="clear" w:color="FFFFFF" w:fill="auto"/>
            <w:vAlign w:val="bottom"/>
          </w:tcPr>
          <w:p w:rsidR="00443638" w:rsidRDefault="00443638"/>
        </w:tc>
        <w:tc>
          <w:tcPr>
            <w:tcW w:w="719" w:type="dxa"/>
            <w:shd w:val="clear" w:color="FFFFFF" w:fill="auto"/>
            <w:vAlign w:val="bottom"/>
          </w:tcPr>
          <w:p w:rsidR="00443638" w:rsidRDefault="00443638"/>
        </w:tc>
        <w:tc>
          <w:tcPr>
            <w:tcW w:w="1554" w:type="dxa"/>
            <w:shd w:val="clear" w:color="FFFFFF" w:fill="auto"/>
            <w:vAlign w:val="bottom"/>
          </w:tcPr>
          <w:p w:rsidR="00443638" w:rsidRDefault="00443638"/>
        </w:tc>
        <w:tc>
          <w:tcPr>
            <w:tcW w:w="1265" w:type="dxa"/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6161" w:type="dxa"/>
            <w:gridSpan w:val="3"/>
            <w:shd w:val="clear" w:color="FFFFFF" w:fill="auto"/>
            <w:vAlign w:val="bottom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32" w:type="dxa"/>
            <w:shd w:val="clear" w:color="FFFFFF" w:fill="auto"/>
            <w:vAlign w:val="bottom"/>
          </w:tcPr>
          <w:p w:rsidR="00443638" w:rsidRDefault="00443638"/>
        </w:tc>
        <w:tc>
          <w:tcPr>
            <w:tcW w:w="642" w:type="dxa"/>
            <w:shd w:val="clear" w:color="FFFFFF" w:fill="auto"/>
            <w:vAlign w:val="bottom"/>
          </w:tcPr>
          <w:p w:rsidR="00443638" w:rsidRDefault="00443638"/>
        </w:tc>
        <w:tc>
          <w:tcPr>
            <w:tcW w:w="719" w:type="dxa"/>
            <w:shd w:val="clear" w:color="FFFFFF" w:fill="auto"/>
            <w:vAlign w:val="bottom"/>
          </w:tcPr>
          <w:p w:rsidR="00443638" w:rsidRDefault="00443638"/>
        </w:tc>
        <w:tc>
          <w:tcPr>
            <w:tcW w:w="1554" w:type="dxa"/>
            <w:shd w:val="clear" w:color="FFFFFF" w:fill="auto"/>
            <w:vAlign w:val="bottom"/>
          </w:tcPr>
          <w:p w:rsidR="00443638" w:rsidRDefault="00443638"/>
        </w:tc>
        <w:tc>
          <w:tcPr>
            <w:tcW w:w="1265" w:type="dxa"/>
            <w:shd w:val="clear" w:color="FFFFFF" w:fill="auto"/>
            <w:vAlign w:val="bottom"/>
          </w:tcPr>
          <w:p w:rsidR="00443638" w:rsidRDefault="00443638"/>
        </w:tc>
      </w:tr>
      <w:tr w:rsidR="00443638" w:rsidRPr="00336DE4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6161" w:type="dxa"/>
            <w:gridSpan w:val="3"/>
            <w:shd w:val="clear" w:color="FFFFFF" w:fill="auto"/>
            <w:vAlign w:val="bottom"/>
          </w:tcPr>
          <w:p w:rsidR="00443638" w:rsidRPr="00336DE4" w:rsidRDefault="00D0506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36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36DE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36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36DE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36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36DE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32" w:type="dxa"/>
            <w:shd w:val="clear" w:color="FFFFFF" w:fill="auto"/>
            <w:vAlign w:val="bottom"/>
          </w:tcPr>
          <w:p w:rsidR="00443638" w:rsidRPr="00336DE4" w:rsidRDefault="00443638">
            <w:pPr>
              <w:rPr>
                <w:lang w:val="en-US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443638" w:rsidRPr="00336DE4" w:rsidRDefault="00443638">
            <w:pPr>
              <w:rPr>
                <w:lang w:val="en-US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443638" w:rsidRPr="00336DE4" w:rsidRDefault="00443638">
            <w:pPr>
              <w:rPr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43638" w:rsidRPr="00336DE4" w:rsidRDefault="00443638">
            <w:pPr>
              <w:rPr>
                <w:lang w:val="en-US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443638" w:rsidRPr="00336DE4" w:rsidRDefault="00443638">
            <w:pPr>
              <w:rPr>
                <w:lang w:val="en-US"/>
              </w:rPr>
            </w:pPr>
          </w:p>
        </w:tc>
      </w:tr>
      <w:tr w:rsidR="00443638" w:rsidRPr="00336DE4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6161" w:type="dxa"/>
            <w:gridSpan w:val="3"/>
            <w:shd w:val="clear" w:color="FFFFFF" w:fill="auto"/>
            <w:vAlign w:val="bottom"/>
          </w:tcPr>
          <w:p w:rsidR="00443638" w:rsidRPr="00336DE4" w:rsidRDefault="00D05061">
            <w:pPr>
              <w:jc w:val="center"/>
              <w:rPr>
                <w:lang w:val="en-US"/>
              </w:rPr>
            </w:pPr>
            <w:r w:rsidRPr="00336DE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32" w:type="dxa"/>
            <w:shd w:val="clear" w:color="FFFFFF" w:fill="auto"/>
            <w:vAlign w:val="bottom"/>
          </w:tcPr>
          <w:p w:rsidR="00443638" w:rsidRPr="00336DE4" w:rsidRDefault="00443638">
            <w:pPr>
              <w:rPr>
                <w:lang w:val="en-US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443638" w:rsidRPr="00336DE4" w:rsidRDefault="00443638">
            <w:pPr>
              <w:rPr>
                <w:lang w:val="en-US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443638" w:rsidRPr="00336DE4" w:rsidRDefault="00443638">
            <w:pPr>
              <w:rPr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43638" w:rsidRPr="00336DE4" w:rsidRDefault="00443638">
            <w:pPr>
              <w:rPr>
                <w:lang w:val="en-US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443638" w:rsidRPr="00336DE4" w:rsidRDefault="00443638">
            <w:pPr>
              <w:rPr>
                <w:lang w:val="en-US"/>
              </w:rPr>
            </w:pPr>
          </w:p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6161" w:type="dxa"/>
            <w:gridSpan w:val="3"/>
            <w:shd w:val="clear" w:color="FFFFFF" w:fill="auto"/>
            <w:vAlign w:val="bottom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32" w:type="dxa"/>
            <w:shd w:val="clear" w:color="FFFFFF" w:fill="auto"/>
            <w:vAlign w:val="bottom"/>
          </w:tcPr>
          <w:p w:rsidR="00443638" w:rsidRDefault="00443638"/>
        </w:tc>
        <w:tc>
          <w:tcPr>
            <w:tcW w:w="642" w:type="dxa"/>
            <w:shd w:val="clear" w:color="FFFFFF" w:fill="auto"/>
            <w:vAlign w:val="bottom"/>
          </w:tcPr>
          <w:p w:rsidR="00443638" w:rsidRDefault="00443638"/>
        </w:tc>
        <w:tc>
          <w:tcPr>
            <w:tcW w:w="719" w:type="dxa"/>
            <w:shd w:val="clear" w:color="FFFFFF" w:fill="auto"/>
            <w:vAlign w:val="bottom"/>
          </w:tcPr>
          <w:p w:rsidR="00443638" w:rsidRDefault="00443638"/>
        </w:tc>
        <w:tc>
          <w:tcPr>
            <w:tcW w:w="1554" w:type="dxa"/>
            <w:shd w:val="clear" w:color="FFFFFF" w:fill="auto"/>
            <w:vAlign w:val="bottom"/>
          </w:tcPr>
          <w:p w:rsidR="00443638" w:rsidRDefault="00443638"/>
        </w:tc>
        <w:tc>
          <w:tcPr>
            <w:tcW w:w="1265" w:type="dxa"/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6161" w:type="dxa"/>
            <w:gridSpan w:val="3"/>
            <w:shd w:val="clear" w:color="FFFFFF" w:fill="auto"/>
            <w:vAlign w:val="bottom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32" w:type="dxa"/>
            <w:shd w:val="clear" w:color="FFFFFF" w:fill="auto"/>
            <w:vAlign w:val="bottom"/>
          </w:tcPr>
          <w:p w:rsidR="00443638" w:rsidRDefault="00443638"/>
        </w:tc>
        <w:tc>
          <w:tcPr>
            <w:tcW w:w="642" w:type="dxa"/>
            <w:shd w:val="clear" w:color="FFFFFF" w:fill="auto"/>
            <w:vAlign w:val="bottom"/>
          </w:tcPr>
          <w:p w:rsidR="00443638" w:rsidRDefault="00443638"/>
        </w:tc>
        <w:tc>
          <w:tcPr>
            <w:tcW w:w="719" w:type="dxa"/>
            <w:shd w:val="clear" w:color="FFFFFF" w:fill="auto"/>
            <w:vAlign w:val="bottom"/>
          </w:tcPr>
          <w:p w:rsidR="00443638" w:rsidRDefault="00443638"/>
        </w:tc>
        <w:tc>
          <w:tcPr>
            <w:tcW w:w="1554" w:type="dxa"/>
            <w:shd w:val="clear" w:color="FFFFFF" w:fill="auto"/>
            <w:vAlign w:val="bottom"/>
          </w:tcPr>
          <w:p w:rsidR="00443638" w:rsidRDefault="00443638"/>
        </w:tc>
        <w:tc>
          <w:tcPr>
            <w:tcW w:w="1265" w:type="dxa"/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6161" w:type="dxa"/>
            <w:gridSpan w:val="3"/>
            <w:shd w:val="clear" w:color="FFFFFF" w:fill="auto"/>
            <w:vAlign w:val="bottom"/>
          </w:tcPr>
          <w:p w:rsidR="00443638" w:rsidRDefault="00336DE4" w:rsidP="00336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04.10.</w:t>
            </w:r>
            <w:r w:rsidR="00D0506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№.1040-18</w:t>
            </w:r>
          </w:p>
        </w:tc>
        <w:tc>
          <w:tcPr>
            <w:tcW w:w="432" w:type="dxa"/>
            <w:shd w:val="clear" w:color="FFFFFF" w:fill="auto"/>
            <w:vAlign w:val="bottom"/>
          </w:tcPr>
          <w:p w:rsidR="00443638" w:rsidRDefault="00443638"/>
        </w:tc>
        <w:tc>
          <w:tcPr>
            <w:tcW w:w="642" w:type="dxa"/>
            <w:shd w:val="clear" w:color="FFFFFF" w:fill="auto"/>
            <w:vAlign w:val="bottom"/>
          </w:tcPr>
          <w:p w:rsidR="00443638" w:rsidRDefault="00443638"/>
        </w:tc>
        <w:tc>
          <w:tcPr>
            <w:tcW w:w="719" w:type="dxa"/>
            <w:shd w:val="clear" w:color="FFFFFF" w:fill="auto"/>
            <w:vAlign w:val="bottom"/>
          </w:tcPr>
          <w:p w:rsidR="00443638" w:rsidRDefault="00443638"/>
        </w:tc>
        <w:tc>
          <w:tcPr>
            <w:tcW w:w="1554" w:type="dxa"/>
            <w:shd w:val="clear" w:color="FFFFFF" w:fill="auto"/>
            <w:vAlign w:val="bottom"/>
          </w:tcPr>
          <w:p w:rsidR="00443638" w:rsidRDefault="00443638"/>
        </w:tc>
        <w:tc>
          <w:tcPr>
            <w:tcW w:w="1265" w:type="dxa"/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6161" w:type="dxa"/>
            <w:gridSpan w:val="3"/>
            <w:shd w:val="clear" w:color="FFFFFF" w:fill="auto"/>
            <w:vAlign w:val="bottom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32" w:type="dxa"/>
            <w:shd w:val="clear" w:color="FFFFFF" w:fill="auto"/>
            <w:vAlign w:val="bottom"/>
          </w:tcPr>
          <w:p w:rsidR="00443638" w:rsidRDefault="00443638"/>
        </w:tc>
        <w:tc>
          <w:tcPr>
            <w:tcW w:w="642" w:type="dxa"/>
            <w:shd w:val="clear" w:color="FFFFFF" w:fill="auto"/>
            <w:vAlign w:val="bottom"/>
          </w:tcPr>
          <w:p w:rsidR="00443638" w:rsidRDefault="00443638"/>
        </w:tc>
        <w:tc>
          <w:tcPr>
            <w:tcW w:w="719" w:type="dxa"/>
            <w:shd w:val="clear" w:color="FFFFFF" w:fill="auto"/>
            <w:vAlign w:val="bottom"/>
          </w:tcPr>
          <w:p w:rsidR="00443638" w:rsidRDefault="00443638"/>
        </w:tc>
        <w:tc>
          <w:tcPr>
            <w:tcW w:w="1554" w:type="dxa"/>
            <w:shd w:val="clear" w:color="FFFFFF" w:fill="auto"/>
            <w:vAlign w:val="bottom"/>
          </w:tcPr>
          <w:p w:rsidR="00443638" w:rsidRDefault="00443638"/>
        </w:tc>
        <w:tc>
          <w:tcPr>
            <w:tcW w:w="1265" w:type="dxa"/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shd w:val="clear" w:color="FFFFFF" w:fill="auto"/>
            <w:vAlign w:val="bottom"/>
          </w:tcPr>
          <w:p w:rsidR="00443638" w:rsidRDefault="00443638"/>
        </w:tc>
        <w:tc>
          <w:tcPr>
            <w:tcW w:w="2204" w:type="dxa"/>
            <w:shd w:val="clear" w:color="FFFFFF" w:fill="auto"/>
            <w:vAlign w:val="bottom"/>
          </w:tcPr>
          <w:p w:rsidR="00443638" w:rsidRDefault="00443638"/>
        </w:tc>
        <w:tc>
          <w:tcPr>
            <w:tcW w:w="3630" w:type="dxa"/>
            <w:shd w:val="clear" w:color="FFFFFF" w:fill="auto"/>
            <w:vAlign w:val="bottom"/>
          </w:tcPr>
          <w:p w:rsidR="00443638" w:rsidRDefault="00443638"/>
        </w:tc>
        <w:tc>
          <w:tcPr>
            <w:tcW w:w="432" w:type="dxa"/>
            <w:shd w:val="clear" w:color="FFFFFF" w:fill="auto"/>
            <w:vAlign w:val="bottom"/>
          </w:tcPr>
          <w:p w:rsidR="00443638" w:rsidRDefault="00443638"/>
        </w:tc>
        <w:tc>
          <w:tcPr>
            <w:tcW w:w="642" w:type="dxa"/>
            <w:shd w:val="clear" w:color="FFFFFF" w:fill="auto"/>
            <w:vAlign w:val="bottom"/>
          </w:tcPr>
          <w:p w:rsidR="00443638" w:rsidRDefault="00443638"/>
        </w:tc>
        <w:tc>
          <w:tcPr>
            <w:tcW w:w="719" w:type="dxa"/>
            <w:shd w:val="clear" w:color="FFFFFF" w:fill="auto"/>
            <w:vAlign w:val="bottom"/>
          </w:tcPr>
          <w:p w:rsidR="00443638" w:rsidRDefault="00443638"/>
        </w:tc>
        <w:tc>
          <w:tcPr>
            <w:tcW w:w="1554" w:type="dxa"/>
            <w:shd w:val="clear" w:color="FFFFFF" w:fill="auto"/>
            <w:vAlign w:val="bottom"/>
          </w:tcPr>
          <w:p w:rsidR="00443638" w:rsidRDefault="00443638"/>
        </w:tc>
        <w:tc>
          <w:tcPr>
            <w:tcW w:w="1265" w:type="dxa"/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6161" w:type="dxa"/>
            <w:gridSpan w:val="3"/>
            <w:shd w:val="clear" w:color="FFFFFF" w:fill="auto"/>
            <w:vAlign w:val="bottom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32" w:type="dxa"/>
            <w:shd w:val="clear" w:color="FFFFFF" w:fill="auto"/>
            <w:vAlign w:val="bottom"/>
          </w:tcPr>
          <w:p w:rsidR="00443638" w:rsidRDefault="00443638"/>
        </w:tc>
        <w:tc>
          <w:tcPr>
            <w:tcW w:w="642" w:type="dxa"/>
            <w:shd w:val="clear" w:color="FFFFFF" w:fill="auto"/>
            <w:vAlign w:val="bottom"/>
          </w:tcPr>
          <w:p w:rsidR="00443638" w:rsidRDefault="00443638"/>
        </w:tc>
        <w:tc>
          <w:tcPr>
            <w:tcW w:w="719" w:type="dxa"/>
            <w:shd w:val="clear" w:color="FFFFFF" w:fill="auto"/>
            <w:vAlign w:val="bottom"/>
          </w:tcPr>
          <w:p w:rsidR="00443638" w:rsidRDefault="00443638"/>
        </w:tc>
        <w:tc>
          <w:tcPr>
            <w:tcW w:w="1554" w:type="dxa"/>
            <w:shd w:val="clear" w:color="FFFFFF" w:fill="auto"/>
            <w:vAlign w:val="bottom"/>
          </w:tcPr>
          <w:p w:rsidR="00443638" w:rsidRDefault="00443638"/>
        </w:tc>
        <w:tc>
          <w:tcPr>
            <w:tcW w:w="1265" w:type="dxa"/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shd w:val="clear" w:color="FFFFFF" w:fill="auto"/>
            <w:vAlign w:val="bottom"/>
          </w:tcPr>
          <w:p w:rsidR="00443638" w:rsidRDefault="00443638"/>
        </w:tc>
        <w:tc>
          <w:tcPr>
            <w:tcW w:w="2204" w:type="dxa"/>
            <w:shd w:val="clear" w:color="FFFFFF" w:fill="auto"/>
            <w:vAlign w:val="bottom"/>
          </w:tcPr>
          <w:p w:rsidR="00443638" w:rsidRDefault="00443638"/>
        </w:tc>
        <w:tc>
          <w:tcPr>
            <w:tcW w:w="3630" w:type="dxa"/>
            <w:shd w:val="clear" w:color="FFFFFF" w:fill="auto"/>
            <w:vAlign w:val="bottom"/>
          </w:tcPr>
          <w:p w:rsidR="00443638" w:rsidRDefault="00443638"/>
        </w:tc>
        <w:tc>
          <w:tcPr>
            <w:tcW w:w="432" w:type="dxa"/>
            <w:shd w:val="clear" w:color="FFFFFF" w:fill="auto"/>
            <w:vAlign w:val="bottom"/>
          </w:tcPr>
          <w:p w:rsidR="00443638" w:rsidRDefault="00443638"/>
        </w:tc>
        <w:tc>
          <w:tcPr>
            <w:tcW w:w="642" w:type="dxa"/>
            <w:shd w:val="clear" w:color="FFFFFF" w:fill="auto"/>
            <w:vAlign w:val="bottom"/>
          </w:tcPr>
          <w:p w:rsidR="00443638" w:rsidRDefault="00443638"/>
        </w:tc>
        <w:tc>
          <w:tcPr>
            <w:tcW w:w="719" w:type="dxa"/>
            <w:shd w:val="clear" w:color="FFFFFF" w:fill="auto"/>
            <w:vAlign w:val="bottom"/>
          </w:tcPr>
          <w:p w:rsidR="00443638" w:rsidRDefault="00443638"/>
        </w:tc>
        <w:tc>
          <w:tcPr>
            <w:tcW w:w="1554" w:type="dxa"/>
            <w:shd w:val="clear" w:color="FFFFFF" w:fill="auto"/>
            <w:vAlign w:val="bottom"/>
          </w:tcPr>
          <w:p w:rsidR="00443638" w:rsidRDefault="00443638"/>
        </w:tc>
        <w:tc>
          <w:tcPr>
            <w:tcW w:w="1265" w:type="dxa"/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9508" w:type="dxa"/>
            <w:gridSpan w:val="7"/>
            <w:shd w:val="clear" w:color="FFFFFF" w:fill="auto"/>
            <w:vAlign w:val="bottom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65" w:type="dxa"/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Маска анестезиологическая, средняя взрослая р.4</w:t>
            </w:r>
            <w:r w:rsidR="00336DE4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Анестезиологическая лицевая маска дыхательного контура для взрослых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средняя  одноразовая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Описание: Анестезиологическая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маска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для дыхательного контура,  масочного наркоза,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системами для ручного искусственного дыхани</w:t>
            </w:r>
            <w:r>
              <w:rPr>
                <w:rFonts w:ascii="Times New Roman" w:hAnsi="Times New Roman"/>
                <w:sz w:val="24"/>
                <w:szCs w:val="24"/>
              </w:rPr>
              <w:t>я)  анатомической формы с манжетой предварительного надува,  с крепежным кольцом с четырьмя фиксаторами и с кодировкой зеленого цвета, с системой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без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поддува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Корпус маски полностью прозрачный. Манжета маски обеспечивает герметичное приле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гание к лицу пациента. Коннектор 22F. Размер 4. Материал: полипропилен, полиэтилен.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латекса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(указано производителем на упаковке), в индивидуальной упаковке, клинически чисто, однократного применения. Срок годности: не менее 5 лет от даты произ</w:t>
            </w:r>
            <w:r>
              <w:rPr>
                <w:rFonts w:ascii="Times New Roman" w:hAnsi="Times New Roman"/>
                <w:sz w:val="24"/>
                <w:szCs w:val="24"/>
              </w:rPr>
              <w:t>водства.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Соединитель раздвижной конфигурируемый диаметр 22 мм с жестким угловым коннектором</w:t>
            </w:r>
            <w:r w:rsidR="00336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DE4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Раздвижной конфигурируемый диаметром 22 мм соединитель между дыхательным контуром и маской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трубкой) с жестким угловым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коннектором. Описание: Прозрачная раздвижная трубка воздуховода длиной от 70 мм (в сжатом состоянии) до 150 мм (в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растянутом состоянии) и диаметром 22 мм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15F-15F, жесткий прозрачный прямой коннектор зеленого цвета 22F-15M c противоскользящим р</w:t>
            </w:r>
            <w:r>
              <w:rPr>
                <w:rFonts w:ascii="Times New Roman" w:hAnsi="Times New Roman"/>
                <w:sz w:val="24"/>
                <w:szCs w:val="24"/>
              </w:rPr>
              <w:t>ебристым ободом, жесткий прозрачный Г-образный коннектор 22M/15F-15M.Трубке можно придать определенное положение, которое фиксируется. Мертвое пространство трубки от 25 до 45 мл. Однократного применения, клинически чисто, без содержания латекса, в индивиду</w:t>
            </w:r>
            <w:r>
              <w:rPr>
                <w:rFonts w:ascii="Times New Roman" w:hAnsi="Times New Roman"/>
                <w:sz w:val="24"/>
                <w:szCs w:val="24"/>
              </w:rPr>
              <w:t>альной упаковке. Срок годности не менее 5 лет от даты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с распылителем ингаляционных растворов, Т-образным коннектором d 22 мм, кислородной трубкой</w:t>
            </w:r>
            <w:r w:rsidR="00336DE4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Аэрозольный комплект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Т-образным коннектором, с </w:t>
            </w:r>
            <w:r>
              <w:rPr>
                <w:rFonts w:ascii="Times New Roman" w:hAnsi="Times New Roman"/>
                <w:sz w:val="24"/>
                <w:szCs w:val="24"/>
              </w:rPr>
              <w:t>кислородным шлангом для дыхательного контура c диаметром 22 мм. Описание и состав: высококачественный (при потоке газовой смеси 8 л/мин должен доставит не менее 2 мл раствора за 10 мин., и диаметр 76% частиц раствора составит менее 5 микрон, с целью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трахеобронхиального осаждения) распылитель для трахеобронхиальной доставки лекарственных препаратов со стандартным плоским основанием, обеспечивающим устойчивость при заполнении; распылитель оснащен: 22 мм охватывающим фитингом для присоединения к ст</w:t>
            </w:r>
            <w:r>
              <w:rPr>
                <w:rFonts w:ascii="Times New Roman" w:hAnsi="Times New Roman"/>
                <w:sz w:val="24"/>
                <w:szCs w:val="24"/>
              </w:rPr>
              <w:t>андартным аэрозольным маскам, 6-мм вентилем для подключения к кислородному шлангу; распылитель работает как в вертикальном, так и в горизонтальном положении, что дает возможность применять его в составе дыхательного контура; распылитель оснащен емкостью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ъемом 5 мл для предотвращения выливания раствора; распылитель соответствует требованиям, предъявляемым к конусным соединениям стандартов BS EN-1281-1 и международным стандартом 5356.1, что исключает риск случайного разъединения в составе дыхательного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конут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; кислородная прозрачная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продольноармированная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трубка со стандартным коннектором для соединения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длиной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1,8 м, стойкая к перегибанию; тройник прозрачный 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22М-22F-22M. Материал: полипропилен, полиэтилен, эластомер. Не содерж</w:t>
            </w:r>
            <w:r>
              <w:rPr>
                <w:rFonts w:ascii="Times New Roman" w:hAnsi="Times New Roman"/>
                <w:sz w:val="24"/>
                <w:szCs w:val="24"/>
              </w:rPr>
              <w:t>ит латекса, клинически чисто, в индивидуальной упаковке, однократного применения. Срок годности не менее 5 лет.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кислородная для взрослых с носовым зажимом и кислородной трубкой 2,1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36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DE4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proofErr w:type="gramEnd"/>
            <w:r w:rsidR="00336DE4">
              <w:rPr>
                <w:rFonts w:ascii="Times New Roman" w:hAnsi="Times New Roman"/>
                <w:sz w:val="24"/>
                <w:szCs w:val="24"/>
              </w:rPr>
              <w:t xml:space="preserve">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Кислородная маска для оксигенотерапии средней </w:t>
            </w:r>
            <w:r>
              <w:rPr>
                <w:rFonts w:ascii="Times New Roman" w:hAnsi="Times New Roman"/>
                <w:sz w:val="24"/>
                <w:szCs w:val="24"/>
              </w:rPr>
              <w:t>концентрации, продолговатая, взрослая. Изготовлена из мягкого винила для комфорта пациента, прозрачность обеспечивает визуальный контроль. В комплекте с кислородной трубкой 210 см. Индивидуально упакована.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Увлажнитель пузырьковый с емкостью</w:t>
            </w:r>
            <w:r w:rsidR="004C726D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Увлажнитель кислородный пузырьковый с ёмкостью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кислородотерапии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Увлажнение 92%, со стандартным (Евро) М12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гайка» соединением с расходомером, трубка распылителя длиной 17 см с сетчатым диффузором, сигнальный клапан с настройкой на 4 л/мин со звуковой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сигнализацией, выходной пластиковый конический штуцер 6 мм для подсоединения стандартного кислородного шланга, пластиковая термостойкая ёмкость для стерильной жидкости с заполнением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мл. Материалы: поливинилхлорид, полипропилен. Упаковка: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индивидуальная, клинически чистая.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для реанимации СН 14</w:t>
            </w:r>
            <w:r w:rsidR="004C726D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СН 14, длина 110 см. Внутренний диаметр I.D. 3,3 мм. Внешний диаметр О.D. 4,7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стерильный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дистальный конец зонда тщательно обработан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закруглен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цветовая кодировка воронкообразного коннектора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предназначен для одноразового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изготовлен из прозрачного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-нетоксичного поливинилхлорида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термопластичный материал смягча</w:t>
            </w:r>
            <w:r>
              <w:rPr>
                <w:rFonts w:ascii="Times New Roman" w:hAnsi="Times New Roman"/>
                <w:sz w:val="24"/>
                <w:szCs w:val="24"/>
              </w:rPr>
              <w:t>ется под воздействием температуры окружающих тканей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общая длина зонда 110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 метки от дистального конца расположены на расстоянии: первая - 46 см; вторая - 56 см; третья - 66 см; четвертая - 76 см (для зонда длиной 110 см)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открытый конец, 4 боковы</w:t>
            </w:r>
            <w:r>
              <w:rPr>
                <w:rFonts w:ascii="Times New Roman" w:hAnsi="Times New Roman"/>
                <w:sz w:val="24"/>
                <w:szCs w:val="24"/>
              </w:rPr>
              <w:t>х отверстия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для реанимации СН 16</w:t>
            </w:r>
            <w:r w:rsidR="004C726D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Стерильный,Одноразовый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,Изготовлен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прозрачного термопластичного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ПВХ,Длина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зонда: 110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для реанимации СН 18</w:t>
            </w:r>
            <w:r w:rsidR="004C726D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СН 18, длина 110 см. Внутренний </w:t>
            </w:r>
            <w:r>
              <w:rPr>
                <w:rFonts w:ascii="Times New Roman" w:hAnsi="Times New Roman"/>
                <w:sz w:val="24"/>
                <w:szCs w:val="24"/>
              </w:rPr>
              <w:t>диаметр I.D. 4,5 мм. Внешний диаметр О.D. 6,0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стерильный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дистальный конец зонда тщательно обработан и закруглен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цветовая кодировка воронкообразного коннектора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предназначен для одноразового 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изготовлен из прозрачного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-нетоксичного поливинилхлорида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термопластичный материал смягчается под воздействием температуры окружающих тканей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общая длина зонда 110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 метки от дистального конца расположены на расстоянии: первая </w:t>
            </w:r>
            <w:r>
              <w:rPr>
                <w:rFonts w:ascii="Times New Roman" w:hAnsi="Times New Roman"/>
                <w:sz w:val="24"/>
                <w:szCs w:val="24"/>
              </w:rPr>
              <w:t>- 46 см; вторая - 56 см; третья - 66 см; четвертая - 76 см (для зонда длиной 110 см)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открытый конец, 4 боковых отверстия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для реанимации СН 20</w:t>
            </w:r>
            <w:r w:rsidR="004C726D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СН 20, длина 110 см. Внутренний диаметр I.D. 5,1 мм. Внешний </w:t>
            </w:r>
            <w:r>
              <w:rPr>
                <w:rFonts w:ascii="Times New Roman" w:hAnsi="Times New Roman"/>
                <w:sz w:val="24"/>
                <w:szCs w:val="24"/>
              </w:rPr>
              <w:t>диаметр О.D. 6,7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стерильный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дистальный конец зонда тщательно обработан и закруглен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цветовая кодировка воронкообразного коннектора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предназначен для одноразового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изготовлен из прозрачн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-нетоксичного поливинилхлорида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термопластичный материал смягчается под воздействием температуры окружающих тканей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общая длина зонда 110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 метки от дистального конца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расположены на расстоянии: первая - 46 см; вторая - 56 см; трет</w:t>
            </w:r>
            <w:r>
              <w:rPr>
                <w:rFonts w:ascii="Times New Roman" w:hAnsi="Times New Roman"/>
                <w:sz w:val="24"/>
                <w:szCs w:val="24"/>
              </w:rPr>
              <w:t>ья - 66 см; четвертая - 76 см (для зонда длиной 110 см)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открытый конец, 4 боковых отверстия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 с наконечником</w:t>
            </w:r>
            <w:r w:rsidR="004C726D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 с наконечником на дистальном конце удлинённой трубки, горловина мешка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крышкой и запорным механизмом, с уплотнительным кольцом для подвешивания, диаметр трубки СН 20, длина - 1,5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1,5 л с градуировкой деления на мешке. Стерильная.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ЭКГ, диаметр 50 мм, одноразовый</w:t>
            </w:r>
            <w:r w:rsidR="004C726D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50±2 мм в диаметре. </w:t>
            </w:r>
            <w:r>
              <w:rPr>
                <w:rFonts w:ascii="Times New Roman" w:hAnsi="Times New Roman"/>
                <w:sz w:val="24"/>
                <w:szCs w:val="24"/>
              </w:rPr>
              <w:t>Площадь соприкосновения электрода на коже 48±0,5 мм. Фиксирующая площадь электрода 1960-1970 мм2. Площадь геля 280-290 мм2. Площадь сенсора 75-79 мм2. Встречный импеданс 110 Ом. Фоновая разность потенциалов электродов 5,3 мВ. Восстановление электропроводны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свойств электрода менее 3,9 мВ. Устойчивость при длительном пропускании малых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токов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,1 мВ. Эффективность снятия сигнала при внутренних паразитарных шумах до 23 мВ. Сверхсильная клеевая основа – двухцветная полиэтиленовая пена медицинского назначения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изображениями логотипа компании.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Отшелушивающая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терка. Проницаемость основы для воздуха – воздухонепроницаемая. Коннектор – графитовый,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рентгенонегативный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Датчик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Электропроводный слой - влажный гель. Поднимающийся козырек электрода. Эффективное в</w:t>
            </w:r>
            <w:r>
              <w:rPr>
                <w:rFonts w:ascii="Times New Roman" w:hAnsi="Times New Roman"/>
                <w:sz w:val="24"/>
                <w:szCs w:val="24"/>
              </w:rPr>
              <w:t>ремя функционирования не менее 24 часов.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дуоденальный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Рильса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РКП СН 12/125 см</w:t>
            </w:r>
            <w:r w:rsidR="004C726D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Дуоденальный катетер (зонд)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Рильса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Для аспирации кишечного содержимого и проведения энтерального питания. Изготовлен из ПВХ медицинского назначения, 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качестве пластификаторов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указано на упаковке. В связи с этим может использоваться в течение 3-х недель не теряя своих свойств.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А78. Размер СН 12/125 см. Четыре увеличенных дренажных отверстия обеспечивают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ффективный пассаж жидкости.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Пропорциональность размеров боковых отверстий обеспечивает несминаемость дистального конца зонда. На дистальном конце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олива, по всему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полоса, что позволяет контролироват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процесс введения зонда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двенадцатиперсную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кишку. С адаптером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Просвет не перекрывается при скручивании. Эффективная длина 1210 мм. Градуировка на расстоянии 380, 510 и 640 мм от дистального конца. Специально обработанная поверхность снижает потреб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в применении смазывающих средств.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воронкообразный коннектор позволяет быстро определить диаметр изделия и может использоваться со всеми стандартными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адапторами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индивидуальной стерильной упаковке. Стерилизован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хранения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дуоденальный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Рильса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РКП СН 16/125 см</w:t>
            </w:r>
            <w:r w:rsidR="004C726D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Дуоденальный катетер (зонд)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Рильса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аспирации кишечного содержимого и проведения энтерального питания. Изготовлен из ПВХ медицинского назначения,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качестве пластификаторов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указано на упаковке. В связи с этим может использоваться в течение 3-х недель не теряя своих свойств.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А78. Размер СН 16/125 см. Четыре увеличенных дренажных отверстия обеспечивают эффективный 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ссаж жидкости. Пропорциональность размеров боковых отверстий обеспечивает несминаемость дистального конца зонда. На дистальном конце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олива, по всему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полоса, что позволяет контролировать процесс вве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дения зонда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двенадцатиперсную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кишку. С адаптером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Просвет не перекрывается при скручивании. Эффективная длина 1210 мм. Градуировка на расстоянии 380, 510 и 640 мм от дистального конца. Специально обработанная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поверхность снижает потребность в приме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нении смазывающих средств.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воронкообразный коннектор позволяет быстро определить диаметр изделия и может использоваться со всеми стандартными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адапторами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индивидуальной стерильной упаковке. Стерилизован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Срок хранения не </w:t>
            </w:r>
            <w:r>
              <w:rPr>
                <w:rFonts w:ascii="Times New Roman" w:hAnsi="Times New Roman"/>
                <w:sz w:val="24"/>
                <w:szCs w:val="24"/>
              </w:rPr>
              <w:t>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12 мужской</w:t>
            </w:r>
            <w:r w:rsidR="004C726D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12/40 см, материал изготовления – ПВХ. Особое качество обработки 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 - с другой.  Вблизи пузырного конца катетера - гладкие боковые овальные дренажные отверстия оптимального размера на разном расстоянии от пузырного конца катетера. Упакован в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вернутом виде в стерильную упаковку - блистер с легко разъединяющимися со стороны коннектора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мужской</w:t>
            </w:r>
            <w:r w:rsidR="004C726D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Размер СН 14/40 см, материал изготовления – ПВХ. Особое качество обработки 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 - с другой.  Вблизи пузырного конца катетер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- гладкие боковые овальные дренажные отверстия оптимального размера на разном расстоянии от пузырного конца катетера. Упакован в развернутом виде в стерильную упаковку - блистер с легко разъединяющимися со стороны коннектора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</w:t>
            </w:r>
            <w:r>
              <w:rPr>
                <w:rFonts w:ascii="Times New Roman" w:hAnsi="Times New Roman"/>
                <w:sz w:val="24"/>
                <w:szCs w:val="24"/>
              </w:rPr>
              <w:t>ерильности катетера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мужской</w:t>
            </w:r>
            <w:r w:rsidR="004C726D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16/40 см, материал изготовления – ПВХ. Особое качество обработки поверхности: "замороженная поверхность".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 - с другой. Вблизи пузырного конца катетера - гладкие боковые овальные дренажные отверстия оптимального размера на разном расстоянии от пузырного конца катетера.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Упакован в развернутом виде в стерильную упаковку - блистер с легко разъединяющимися со стороны коннектора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 Жане одноразовый 150 мл стерильный (без винтовой нарезки)</w:t>
            </w:r>
            <w:r w:rsidR="004C726D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Шприцы предназначены для отсасывания различных жидкостей из организма и промывания внутренних полостей. Шприцы по техническим характеристикам соответствуют всем требованиям. Шприцы состоят из - цилиндра, штока и поршня. На внешней стороне цилиндра нанесена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шкала градуировки объема 150 мл и имеет расширенную градуировку до 160 мл. Нижняя часть цилиндра снабжена присоединительным конусом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насадки. На внутренней поверхности цилиндра, в верхней части, цилиндра имеется стопорное кольцо, препятствую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щее случайному выпадению штока из цилиндра. Уплотнитель поршня выполнен из специальной резины и имеет два кольца контакта с внутренней поверхностью цилиндра, что исключает протекание и обеспечивает плавное скольжение поршня внутри цилиндра. Детали шприцев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изготовлены из следующих материалов: цилиндр - из полипропилена, шток - из полиэтилена низкого давления, поршень из специальной резины. На цилиндре имеется маркировка - изделие не содержит латекса. Индивидуальная потребительская упаковка герметично заварен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Шприцы стерильны,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нетоксичны. Стерилизация шприцев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газовая - оксидом этилена. Средний срок годности шприцев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для энтерального питания гравитационная, 1000 мл</w:t>
            </w:r>
            <w:r w:rsidR="004C726D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Коннектор адаптирован к любому размеру </w:t>
            </w:r>
            <w:r>
              <w:rPr>
                <w:rFonts w:ascii="Times New Roman" w:hAnsi="Times New Roman"/>
                <w:sz w:val="24"/>
                <w:szCs w:val="24"/>
              </w:rPr>
              <w:t>питательного зонда; трубка устойчива к слипанию при обратных перегибах; стенки мешка и трубки прозрачные; мешок для питательной смеси снабжен боковой градуировкой; наличие специального кольца для фиксации мешка на стандартной стойке; наличие зажима для мак</w:t>
            </w:r>
            <w:r>
              <w:rPr>
                <w:rFonts w:ascii="Times New Roman" w:hAnsi="Times New Roman"/>
                <w:sz w:val="24"/>
                <w:szCs w:val="24"/>
              </w:rPr>
              <w:t>симально точного дозирования скорости введения питательной смеси и камера для визуального контроля; Горловина мешка имеет герметичную крышку для исключения дополнительное инфицирование питательной смеси из окружающей среды; Упаковка стерильная, система пре</w:t>
            </w:r>
            <w:r>
              <w:rPr>
                <w:rFonts w:ascii="Times New Roman" w:hAnsi="Times New Roman"/>
                <w:sz w:val="24"/>
                <w:szCs w:val="24"/>
              </w:rPr>
              <w:t>дназначена для однократного применения; материал изготовления - прозрачный ПВХ. Система может содержать латекс; Объем мешка — 1000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СН16 женский</w:t>
            </w:r>
            <w:r w:rsidR="004C726D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женский. Материал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изготовления – высококачественный ПВХ. Прочный воронкообразный коннектор. Внутренняя поверхность коннектора имеет особую "ребристую" структуру для повышения надежности соединения с мочеприемником. Нижняя часть коннектора рифленая для большого удобства фикс</w:t>
            </w:r>
            <w:r>
              <w:rPr>
                <w:rFonts w:ascii="Times New Roman" w:hAnsi="Times New Roman"/>
                <w:sz w:val="24"/>
                <w:szCs w:val="24"/>
              </w:rPr>
              <w:t>ации при манипуляциях с катетером. Цветовая и числовая маркировка размера изделия на коннекторе. Специально обработанная "замороженная" поверхность для облегчения введения катетера. Эффективная длина 180 мм. Стерилизационный период не менее 5 лет.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8,0</w:t>
            </w:r>
            <w:r w:rsidR="004C726D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изготовлена из термопластичного ПВХ. Анатомическая форма под углом 95 градусов. Манжета низкого давления с голубым пилот-баллоном,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Фланец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епления фиксированный, мягкий, прозрачный с двумя дополнительными окошками для профилактики пролежней, с маркировкой внутреннего и внешнего размеров трубки и диаметра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манжетки.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полоса по всей длине трубки, вращающийся коннектор 15 мм, н</w:t>
            </w:r>
            <w:r>
              <w:rPr>
                <w:rFonts w:ascii="Times New Roman" w:hAnsi="Times New Roman"/>
                <w:sz w:val="24"/>
                <w:szCs w:val="24"/>
              </w:rPr>
              <w:t>аличие обтуратора трубки и ленты фиксации. Возможность установки внутренней мягкой гибкой рифленой канюли одноразового использования. Внутренний диаметр 8.0 мм, внешний диаметр 11.3 мм. Длина – 81 мм. Диаметр манжетки – 28 мм. Не содержит латекс. Стерильна</w:t>
            </w:r>
            <w:r>
              <w:rPr>
                <w:rFonts w:ascii="Times New Roman" w:hAnsi="Times New Roman"/>
                <w:sz w:val="24"/>
                <w:szCs w:val="24"/>
              </w:rPr>
              <w:t>я индивидуальная жёсткая упаковка.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7,0</w:t>
            </w:r>
            <w:r w:rsidR="004C726D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наполовину вставленный коннектор. Наполовину в</w:t>
            </w:r>
            <w:r>
              <w:rPr>
                <w:rFonts w:ascii="Times New Roman" w:hAnsi="Times New Roman"/>
                <w:sz w:val="24"/>
                <w:szCs w:val="24"/>
              </w:rPr>
              <w:t>ставленный коннектор. Внутренний диаметр 7.0 мм, внешний диаметр 9.3 мм, диаметр манжеты 24,0 мм, длина трубки без коннектора - 315±5 мм. Стерильная индивидуальная упаковка.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7,5</w:t>
            </w:r>
            <w:r w:rsidR="004C726D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-маркер по всей длине трубки, черный индикатор интубации по все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наполовину вставленный коннектор. Наполовину вставленный коннектор. Внутренний диаметр 7.5 мм, внешний диаметр 10.0 мм, диаметр манжеты 26 мм, длина трубки без к</w:t>
            </w:r>
            <w:r>
              <w:rPr>
                <w:rFonts w:ascii="Times New Roman" w:hAnsi="Times New Roman"/>
                <w:sz w:val="24"/>
                <w:szCs w:val="24"/>
              </w:rPr>
              <w:t>оннектора - 335±5 мм. Стерильная индивидуальная упаковка.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8,0</w:t>
            </w:r>
            <w:r w:rsidR="004C726D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низкого давления, голубой пилот-баллон, клапан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наполовину вставленн</w:t>
            </w:r>
            <w:r>
              <w:rPr>
                <w:rFonts w:ascii="Times New Roman" w:hAnsi="Times New Roman"/>
                <w:sz w:val="24"/>
                <w:szCs w:val="24"/>
              </w:rPr>
              <w:t>ый коннектор. Наполовину вставленный коннектор. Внутренний диаметр 8.0 мм, внешний диаметр 10.7 мм, диаметр манжеты 26 мм, длина трубки без коннектора - 335±5 мм. Стерильная индивидуальная упаковка.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 и </w:t>
            </w:r>
            <w:r>
              <w:rPr>
                <w:rFonts w:ascii="Times New Roman" w:hAnsi="Times New Roman"/>
                <w:sz w:val="24"/>
                <w:szCs w:val="24"/>
              </w:rPr>
              <w:t>стилетом, размер 8,0</w:t>
            </w:r>
            <w:r w:rsidR="004C726D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для назальной и оральной интубации с внутренним стилетом,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-маркер по всей длине трубки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Мёрфи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8.0 мм, внешний диаметр 10.7 мм, диаметр манжеты 26.0 мм. Длина без коннектора 340±2 см. Внутренний стилет </w:t>
            </w:r>
            <w:r>
              <w:rPr>
                <w:rFonts w:ascii="Times New Roman" w:hAnsi="Times New Roman"/>
                <w:sz w:val="24"/>
                <w:szCs w:val="24"/>
              </w:rPr>
              <w:t>для интубации, гибкий металлический с пластиковым покрытием, ручка изогнута. Размер СH 14, диаметр стилета 4.6 мм. Длина 35±2 см. Стерильная индивидуальная упаковка.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 и стилетом, размер 7,5</w:t>
            </w:r>
            <w:r w:rsidR="004C726D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трубка для назальной и оральной интубации с внутренним стилетом,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Мёрфи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Внутренний диаметр 7.5 мм, внешний диаметр 10.0 мм, диаметр манжеты 26.0 мм. Длина без коннектора 330±5 мм. Внутренний стилет для интубации, гибкий металлический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пластиковым покрытием, ручка изогнута. Размер СH 14, диаметр стилета 4.6 мм. Длина 35±2 см. Стерильная индивидуальная упаковка.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Контур дыхательный,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линия вдоха и выдоха, линия увлажнителя,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влагосборника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тройник, крепление контура, длина </w:t>
            </w:r>
            <w:r>
              <w:rPr>
                <w:rFonts w:ascii="Times New Roman" w:hAnsi="Times New Roman"/>
                <w:sz w:val="24"/>
                <w:szCs w:val="24"/>
              </w:rPr>
              <w:t>1,8 м</w:t>
            </w:r>
            <w:r w:rsidR="004C726D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Дыхательный контур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использования с аппаратом ИВЛ. Изготовлен из прозрачного, армированного с внешней стороны ПВХ, устойчивого к перегибу, гладкой внутренней поверхностью, диаметром 22 мм длиной 180 см, встроенные в контур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влагосборника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автома</w:t>
            </w:r>
            <w:r>
              <w:rPr>
                <w:rFonts w:ascii="Times New Roman" w:hAnsi="Times New Roman"/>
                <w:sz w:val="24"/>
                <w:szCs w:val="24"/>
              </w:rPr>
              <w:t>тическим клапаном предотвращающим разгерметизацию, тройник-коннектор с портом контроля давления газов в контуре и портом для термометра, заглушки портов, гибкие коннекторы-манжеты со стороны аппарата с разъемом 22F, линия увлажнителя длиной 60 см с гибкими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коннекторами- манжетами с разъемом 22F с обеих сторон, угловой коннектор, коннекторы подсоединения 22/15мм, крепление контура. Клинически чистая упаковка.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дыхательный гидрофобный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СО2-портом, прямой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- электростатический, двухстороннего действия,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мембрана площадью не менее 19,25 см2, с эффективностью фильтрации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99,99%, вирусов &gt; 99,99%, мертвым пространством фильтра не более 26 мл, сопротивлением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более 1,6 см Н2О при 60л/мин, для дыхательного объема 150-1000 мл. Время эффективной фильтрации не менее 24 часа. Вес не более 22 грамм. Коннекторы 15M/22F-22M/15F. Прозрачный корпус, наличие дополнительного порта для измерения СО2.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Стерильная  индивидуаль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дыхательный комбинированный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 сохранением тепла и влаги дыхательных путей и СО2-портом, прямой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– электростатический, с эффективностью фильтрации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99,99%,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вирусов &gt; 99,99%, влагоотдачи пациенту не менее 30 мг.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 мл, потери влаги не более 7мг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1000мл, мертвое пространство фильтра не более 35 мл, сопротивлением не более 1,8 см Н2О при 60 л/мин, для дыхательного объема 150-1000 мл.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 фильтра не более 31 грамма. Коннекторы 15M/22F-22M/15F. Фильтрующая мембрана гидрофобная, электростатическая гофрированная, площадью не менее 19.5 см2.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Тепловлагосберегающий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 спиралевидный, площадью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менее 1400 см2. Время эффективной фильтрации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24 часа. Прозрачный корпус, наличие дополнительного порта для измерения СО2.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Стерильная  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для кружки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взрослый, одноразовый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предназначены для промывания и спринцевания </w:t>
            </w:r>
            <w:r>
              <w:rPr>
                <w:rFonts w:ascii="Times New Roman" w:hAnsi="Times New Roman"/>
                <w:sz w:val="24"/>
                <w:szCs w:val="24"/>
              </w:rPr>
              <w:t>полостей организма человека, а также микроклизм. Наконечники для взрослых, размер 8,0 х 160. Наконечники по техническим характеристикам соответствуют требованиям ТУ 9398-004-27380060-2006. Наконечники представляет собой цилиндрическую деталь, имеющую рабоч</w:t>
            </w:r>
            <w:r>
              <w:rPr>
                <w:rFonts w:ascii="Times New Roman" w:hAnsi="Times New Roman"/>
                <w:sz w:val="24"/>
                <w:szCs w:val="24"/>
              </w:rPr>
              <w:t>ую и присоединительную части. В присоединительной части имеется дополнительный внутренний конус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". Наконечники изготовлены из полипропилена. Индивидуальная потребительская упаковка герметично заварена. Наконечники стерильны, нетоксичны. Стерилизация н</w:t>
            </w:r>
            <w:r>
              <w:rPr>
                <w:rFonts w:ascii="Times New Roman" w:hAnsi="Times New Roman"/>
                <w:sz w:val="24"/>
                <w:szCs w:val="24"/>
              </w:rPr>
              <w:t>аконечников газовая – оксидом этилена. Средний срок годности наконечников не менее 3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аспирационный СН 14 с вакуум-контролем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длиной до 60 см с прозрачным коннектором.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14.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Коннектор прозрачный, суженный с "замороженной" поверхностью. На ко</w:t>
            </w:r>
            <w:r>
              <w:rPr>
                <w:rFonts w:ascii="Times New Roman" w:hAnsi="Times New Roman"/>
                <w:sz w:val="24"/>
                <w:szCs w:val="24"/>
              </w:rPr>
              <w:t>ннекторе имеется отверстие для пальцевого сброса вакуума. Упакован в стерильный блистер. Срок сохранения стерильности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аспирационный СН 16 с вакуум-контролем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длиной до 60 см с прозрачным коннектором.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16.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друга. Коннектор прозрачный, суж</w:t>
            </w:r>
            <w:r>
              <w:rPr>
                <w:rFonts w:ascii="Times New Roman" w:hAnsi="Times New Roman"/>
                <w:sz w:val="24"/>
                <w:szCs w:val="24"/>
              </w:rPr>
              <w:t>енный с "замороженной" поверхностью. На коннекторе имеется отверстие для пальцевого сброса вакуума. Упакован в стерильный блистер. Срок сохранения стерильности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аспирационный СН 18 с вакуум-контролем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длиной до 60 см с прозрачным коннектором.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18.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</w:t>
            </w:r>
            <w:r>
              <w:rPr>
                <w:rFonts w:ascii="Times New Roman" w:hAnsi="Times New Roman"/>
                <w:sz w:val="24"/>
                <w:szCs w:val="24"/>
              </w:rPr>
              <w:t>г напротив друга. Коннектор прозрачный, суженный с "замороженной" поверхностью. На коннекторе имеется отверстие для пальцевого сброса вакуума. Упакован в стерильный блистер. Срок сохранения стерильности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двухходовый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материалом катетера, 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</w:t>
            </w:r>
            <w:r>
              <w:rPr>
                <w:rFonts w:ascii="Times New Roman" w:hAnsi="Times New Roman"/>
                <w:sz w:val="24"/>
                <w:szCs w:val="24"/>
              </w:rPr>
              <w:t>двухходовый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материалом катетера, имеет атравматич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 двухходовый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протяжении использования и препятствующий соприкосновению стенок уретры с материалом катетера, имеет атравматический закругленный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СН14 женский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СН 14 женский. Материал изготовления – высококачественный ПВХ. Прочный воронкообразный коннектор. Внутренняя поверхность коннектора имеет особую "ребристую" структуру для повышения надежности соединения с мочеприемником. Нижняя часть коннектора рифленая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большого удобства фиксации при манипуляциях с катетером. Цветовая и числовая маркировка размера изделия на коннекторе. Специально обработанная "замороженная" поверхность для облегчения введения катетера. Эффективная длина 180 мм. Стерилизационный период </w:t>
            </w:r>
            <w:r>
              <w:rPr>
                <w:rFonts w:ascii="Times New Roman" w:hAnsi="Times New Roman"/>
                <w:sz w:val="24"/>
                <w:szCs w:val="24"/>
              </w:rPr>
              <w:t>не менее 5 лет.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Игла спинальная 18G, тип "Стилет", с ликвор-идентификатором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выполнение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люмбальной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пункции. Материалы: медицинская нержавеющая сталь, поликарбонат, полипропилен. Состав: Игла – тонкостенная, устойчивая на излом,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диаметром 18G,  длиной не более 88 мм,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микропрецизионным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срезом  дистального кончика типа "Стилет"; двухкомпонентный павильон иглы - внутренняя часть со встроенной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цветоизменяющейся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призмой-идентификатором поступления ликвора в просвет павильона для полу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чения четкого, быстрого и надежного подтверждения успешности выполнения пункции; наружная часть прозрачная,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трапецевидно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-овальной формы с дополнительными пальцевыми упорами и четырьмя разнонаправленными овальными вырезами для удобного и надежного удерживан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иглы при пункции, а также возможности визуализации призмы-идентификатора со всех сторон; встроенный в наружную часть павильона  специальный выступ-стрелка, указывающий направление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среза иглы для четкой тактильной идентификации направления среза иглы отн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осительно хода спинномозгового канала;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стальной, точно совпадающий с внутренним диаметром и срезом иглы;  ручка-наконечник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международной маркировкой диаметра иглы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 отношению к павильону, индикатором направления ср</w:t>
            </w:r>
            <w:r>
              <w:rPr>
                <w:rFonts w:ascii="Times New Roman" w:hAnsi="Times New Roman"/>
                <w:sz w:val="24"/>
                <w:szCs w:val="24"/>
              </w:rPr>
              <w:t>еза иглы  для четкой зрительной идентификации направления среза иглы. Упаковка: стерильно упакованная.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Игла спинальная 25G, тип "Стилет" с ликвор-идентификатором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Материалы: медицинская нержавеющая сталь, поликарбонат, полипропилен. Состав: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Игла – тонкостенная, устойчивая на излом, диаметром 25G, длиной 88 мм,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микропрецизионным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срезом  дистального кончика типа "Стилет"; двухкомпонентный павильон иглы - внутренняя часть со встроенной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цветоизменяющейся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призмой-идентификатором поступления ликв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ора в просвет павильона для получения четкого, быстрого и надежного подтверждения успешности выполнения пункции; наружная часть прозрачная,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трапецевидно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-овальной формы с дополнительными пальцевыми упорами и четырьмя разнонаправленными овальными вырезами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удобного и надежного удерживания иглы при пункции, а также возможности визуализации призмы-идентификатора со всех сторон павильона; утопленный вглубь павильона разъем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Слип Муж. для фиксации в игле-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целью удлинения эффективной, "рабочей"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иглы; встроенный в наружную часть павильона  специальный выступ-стрелка, указывающий направление среза иглы для четкой тактильной идентификации направления среза иглы относительно хода спинномозгового канала;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стальной, точно совпадающий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внутренним диаметром и срезом иглы;  ручка-наконечник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международной маркировкой диаметра иглы (оранжевый цвет)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цветоконтрастным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 отношению к павильону, индикатором направления среза иглы  для четкой зрительной идентификации направления срез</w:t>
            </w:r>
            <w:r>
              <w:rPr>
                <w:rFonts w:ascii="Times New Roman" w:hAnsi="Times New Roman"/>
                <w:sz w:val="24"/>
                <w:szCs w:val="24"/>
              </w:rPr>
              <w:t>а иглы.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Игла спинальная 25G, тип «Карандаш» с ликвор-идентификатором, в комплекте с иглой-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Материалы: медицинская нержавеющая сталь, поликарбонат, полипропилен. Состав: Игла – тонкостенная, устойчивая на излом, диаметром 25G,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длиной 88 мм, с колющим срезом дистального кончика типа "Карандаш"; двухкомпонентный павильон иглы - внутренняя часть со встроенной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цветоизменяющейся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призмой-идентификатором поступления ликвора в просвет павильона для получения четкого, быстрого и надежног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подтверждения успешности выполнения пункции; наружная часть прозрачная,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трапецевидно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пункции, а также возмо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жности визуализации призмы-идентификатора со всех сторон павильона; утопленный вглубь павильона разъем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Слип Муж. для фиксации в игле-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целью удлинения эффективной, "рабочей" части иглы; встроенный в наружную часть павильона специальный выс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туп-стрелка, указывающий направление среза иглы для четкой тактильной идентификации направления среза иглы относительно хода спинномозгового канала;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стальной, точно совпадающий с внутренним диаметром иглы;  ручка-наконечник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маркировкой диаметра иглы (оранжевый цвет)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 отношению к павильону, индикатором направления среза иглы  для четкой зрительной идентификации направления среза иглы; Игла-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диаметром 20G, длиной 35 мм, со стандартным 3-хгр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анным срезом дистального кончика и рифленым павильоном с разъемом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Жен.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Кран 3-ходовой, 360°, синий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Кран из прозрачного, химически-устойчивого поликарбоната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0), Т-образный корпус с прямоточными каналами, коннекторы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регулятор потоков 3600 синий (вена),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щелчковым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фиксатором поворота, шаг 450. Устойчивость к давлению до 4 бар. Встроенный адаптер свободного вращения, защищающий систему от разгерметизации и инфицирования.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универсальная, ЛЛ, </w:t>
            </w:r>
            <w:r>
              <w:rPr>
                <w:rFonts w:ascii="Times New Roman" w:hAnsi="Times New Roman"/>
                <w:sz w:val="24"/>
                <w:szCs w:val="24"/>
              </w:rPr>
              <w:t>синяя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для герметичного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систем, катетеров, фильтров и других принадлежностей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при помощи винтового 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Цвет синий.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Фильтр-канюля V 0.45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клапан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Двухканальная закрытая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фильтр-система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безыгольного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многократного забора жидких медикаментов с поддержкой стерильности. Состав: двухканальный наконечник для прокола пробки флакона; защитная пластина с фильтром; соединитель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защитная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Снэп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клапан для автома</w:t>
            </w:r>
            <w:r>
              <w:rPr>
                <w:rFonts w:ascii="Times New Roman" w:hAnsi="Times New Roman"/>
                <w:sz w:val="24"/>
                <w:szCs w:val="24"/>
              </w:rPr>
              <w:t>тического открытия/закрытия аспирационного канала при подсоединении/отсоединении шприца. Фильтр воздушного канала - диаметр пор 0.45 микрон.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Удлинитель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насосов, диаметр 2.7 мм, длина 150 см, ПВХ, стандарт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удлинительная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высокого давления для шприцевых насосов, прозрачная, соединители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Используемые материалы: поливинилхлорид. Длина линии 150 см. Диаметр наружный 2,7 мм/внутренний 1,5 мм. Объем заполнения 2,6 мл. Резистентность к давлению в системе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Соединения: Проксимальное: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Дистальное: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Стерильно, для однократного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1 600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 трехкомпонентный объемом 50 мл для шприцевых дозаторов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трехкомпонентный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шприцевых насосов 50 мл, с винтовой насадкой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легко скользящая накладка поршня с двумя уплотнительными кольцами, нестираемая четкая градуировка, минимальное расстояние между упорными планками цилиндра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плунжера 36 мм, разъем для фиксации в шприце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вом насосе под упорной планкой плунжера. Используемые материалы: Полипропилен,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изопреновая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резина, не содержит латекс. 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Положение канюли - центральное.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6%, наружная резьба.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олжен быть совместим со шприцевыми дозаторами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с одноканальным ЦВК 14G/20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 с одноканальным катетером. Материал катетера: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термолабильный,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контрастный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полиуретан..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Одноканальный катетер с несмываемой разметкой в см, мягким скругленным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маркировкой канала и зажимом. Наружный диаметр катетера 14G/2,1 мм, длина катетера 20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Канал 1,4 мм, скорость 90 мл/мин. Пункционная игла тонкостенная, с овальным срезом;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Дилататор пластиковый, цельнолитой. Проводник металлический гибкий, маркированный, с J-образным кончиком, в круглом футляре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Передвигаемые и фиксируемые крылышки с 2-мя отверстиями для фиксации лигатурой. Заглушка с эластичной инъекционной вставкой.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с двухканальным ЦВК 7Fr/16G-16G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двуканальным катетером. Назначение: катетеризация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ЦВД. Материал катетера: термолабильный,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контрастный полиуретан. Состав набора: двухканальный катетер с несмываемой разметкой в см, мягким скр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маркировкой каналов и зажимами. Наружный диаметр катетера 7F (2,4 мм), длина катетера 19±1 см, каналы дистальный 16G (скорость потока не менее 45 мл/мин), проксимальный 16G (скорость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потока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40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мл/мин).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ункционная игла тонкостенная, с овальным срезом 1,3 х 70 мм,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Дилататор пластиковый, цельнолитой. Проводник металлический гибкий с маркировкой по длине, с J-образным кончиком, в круглом 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пальцевым упором. Неподвижные крылья с отверстиями, прозрачные удлинительные линии с коннекторами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Передвигаемые и фиксируемые крылышки с 2-мя отверстиями для фиксации лигатурой.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Игла-бабочка для внутривенного доступа с удлинителем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21G/0.80 мм, 20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Игла-бабочка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удлинителем. Назначение: проведение кратковременной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Состав: игла стальная со срезом, покрытым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микрослоем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кремния, фиксирующие крылья, удлинительная трубка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технике «неподвижной иглы», цв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етовая кодировка, винтовой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21G/0.80 мм - 20 мм, скорость потока не менее 25 мл/мин, остаточный объем не более 0.39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Игла-бабочка для внутривенного доступа с удлинителем 23G/0.65 мм, 20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Игла-бабочка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удлинителем. Назначение: проведение кратковременной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Состав: игла стальная со срезом, покрытым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микрослоем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кремния, фиксирующие крылья, удлинительная трубка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технике «неподвижной иглы», цветовая кодировка, винтовой коннекто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23G/0.65 мм - 20 мм, скорость потока не менее 11 мл/мин, остаточный объем не более 0.39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443638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внутривенный 16G с инъекционным портом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6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катетеризации периферических вен. Состав: катетер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трехгран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ным срезом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пальцевым упором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овальными вырезами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- полиуретан. Р</w:t>
            </w:r>
            <w:r>
              <w:rPr>
                <w:rFonts w:ascii="Times New Roman" w:hAnsi="Times New Roman"/>
                <w:sz w:val="24"/>
                <w:szCs w:val="24"/>
              </w:rPr>
              <w:t>азмер 16G - 1.7 мм, длина 50 мм, скорость потока не менее 196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D05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638" w:rsidRDefault="00443638">
            <w:pPr>
              <w:jc w:val="center"/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638" w:rsidRDefault="00443638"/>
        </w:tc>
      </w:tr>
      <w:tr w:rsidR="00D05061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099" w:type="dxa"/>
            <w:gridSpan w:val="9"/>
            <w:vAlign w:val="bottom"/>
          </w:tcPr>
          <w:p w:rsidR="00D05061" w:rsidRDefault="00D05061" w:rsidP="003C1C54"/>
        </w:tc>
        <w:tc>
          <w:tcPr>
            <w:tcW w:w="2425" w:type="dxa"/>
            <w:vAlign w:val="bottom"/>
          </w:tcPr>
          <w:p w:rsidR="00D05061" w:rsidRDefault="00D05061" w:rsidP="003C1C54"/>
        </w:tc>
        <w:tc>
          <w:tcPr>
            <w:tcW w:w="2428" w:type="dxa"/>
            <w:vAlign w:val="bottom"/>
          </w:tcPr>
          <w:p w:rsidR="00D05061" w:rsidRDefault="00D05061" w:rsidP="003C1C54"/>
        </w:tc>
        <w:tc>
          <w:tcPr>
            <w:tcW w:w="414" w:type="dxa"/>
            <w:vAlign w:val="bottom"/>
          </w:tcPr>
          <w:p w:rsidR="00D05061" w:rsidRDefault="00D05061" w:rsidP="003C1C54"/>
        </w:tc>
        <w:tc>
          <w:tcPr>
            <w:tcW w:w="531" w:type="dxa"/>
            <w:vAlign w:val="bottom"/>
          </w:tcPr>
          <w:p w:rsidR="00D05061" w:rsidRDefault="00D05061" w:rsidP="003C1C54"/>
        </w:tc>
        <w:tc>
          <w:tcPr>
            <w:tcW w:w="772" w:type="dxa"/>
            <w:vAlign w:val="bottom"/>
          </w:tcPr>
          <w:p w:rsidR="00D05061" w:rsidRDefault="00D05061" w:rsidP="003C1C54"/>
        </w:tc>
        <w:tc>
          <w:tcPr>
            <w:tcW w:w="1488" w:type="dxa"/>
            <w:vAlign w:val="bottom"/>
          </w:tcPr>
          <w:p w:rsidR="00D05061" w:rsidRDefault="00D05061" w:rsidP="003C1C54"/>
        </w:tc>
        <w:tc>
          <w:tcPr>
            <w:tcW w:w="1211" w:type="dxa"/>
            <w:vAlign w:val="bottom"/>
          </w:tcPr>
          <w:p w:rsidR="00D05061" w:rsidRDefault="00D05061" w:rsidP="003C1C54"/>
        </w:tc>
      </w:tr>
      <w:tr w:rsidR="00D05061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6"/>
            <w:vAlign w:val="bottom"/>
            <w:hideMark/>
          </w:tcPr>
          <w:p w:rsidR="00D05061" w:rsidRDefault="00D05061" w:rsidP="003C1C54">
            <w:r>
              <w:rPr>
                <w:rFonts w:ascii="Times New Roman" w:hAnsi="Times New Roman"/>
                <w:sz w:val="28"/>
                <w:szCs w:val="28"/>
              </w:rPr>
              <w:t>Срок поставки: 2019 год, по потребности Заказчика.</w:t>
            </w:r>
          </w:p>
        </w:tc>
      </w:tr>
      <w:tr w:rsidR="00D05061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5099" w:type="dxa"/>
            <w:gridSpan w:val="9"/>
            <w:vAlign w:val="bottom"/>
          </w:tcPr>
          <w:p w:rsidR="00D05061" w:rsidRDefault="00D05061" w:rsidP="003C1C54"/>
        </w:tc>
        <w:tc>
          <w:tcPr>
            <w:tcW w:w="2425" w:type="dxa"/>
            <w:vAlign w:val="bottom"/>
          </w:tcPr>
          <w:p w:rsidR="00D05061" w:rsidRDefault="00D05061" w:rsidP="003C1C54"/>
        </w:tc>
        <w:tc>
          <w:tcPr>
            <w:tcW w:w="2428" w:type="dxa"/>
            <w:vAlign w:val="bottom"/>
          </w:tcPr>
          <w:p w:rsidR="00D05061" w:rsidRDefault="00D05061" w:rsidP="003C1C54"/>
        </w:tc>
        <w:tc>
          <w:tcPr>
            <w:tcW w:w="414" w:type="dxa"/>
            <w:vAlign w:val="bottom"/>
          </w:tcPr>
          <w:p w:rsidR="00D05061" w:rsidRDefault="00D05061" w:rsidP="003C1C54"/>
        </w:tc>
        <w:tc>
          <w:tcPr>
            <w:tcW w:w="531" w:type="dxa"/>
            <w:vAlign w:val="bottom"/>
          </w:tcPr>
          <w:p w:rsidR="00D05061" w:rsidRDefault="00D05061" w:rsidP="003C1C54"/>
        </w:tc>
        <w:tc>
          <w:tcPr>
            <w:tcW w:w="772" w:type="dxa"/>
            <w:vAlign w:val="bottom"/>
          </w:tcPr>
          <w:p w:rsidR="00D05061" w:rsidRDefault="00D05061" w:rsidP="003C1C54"/>
        </w:tc>
        <w:tc>
          <w:tcPr>
            <w:tcW w:w="1488" w:type="dxa"/>
            <w:vAlign w:val="bottom"/>
          </w:tcPr>
          <w:p w:rsidR="00D05061" w:rsidRDefault="00D05061" w:rsidP="003C1C54"/>
        </w:tc>
        <w:tc>
          <w:tcPr>
            <w:tcW w:w="1211" w:type="dxa"/>
            <w:vAlign w:val="bottom"/>
          </w:tcPr>
          <w:p w:rsidR="00D05061" w:rsidRDefault="00D05061" w:rsidP="003C1C54"/>
        </w:tc>
      </w:tr>
      <w:tr w:rsidR="00D05061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6"/>
            <w:vAlign w:val="bottom"/>
            <w:hideMark/>
          </w:tcPr>
          <w:p w:rsidR="00D05061" w:rsidRDefault="00D05061" w:rsidP="003C1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</w:t>
            </w:r>
          </w:p>
          <w:p w:rsidR="00D05061" w:rsidRDefault="00D05061" w:rsidP="003C1C5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г.Красноярск, ул. Партизана Железняка, 3.</w:t>
            </w:r>
          </w:p>
        </w:tc>
      </w:tr>
      <w:tr w:rsidR="00D05061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5099" w:type="dxa"/>
            <w:gridSpan w:val="9"/>
            <w:vAlign w:val="bottom"/>
          </w:tcPr>
          <w:p w:rsidR="00D05061" w:rsidRDefault="00D05061" w:rsidP="003C1C54"/>
        </w:tc>
        <w:tc>
          <w:tcPr>
            <w:tcW w:w="2425" w:type="dxa"/>
            <w:vAlign w:val="bottom"/>
          </w:tcPr>
          <w:p w:rsidR="00D05061" w:rsidRDefault="00D05061" w:rsidP="003C1C54"/>
        </w:tc>
        <w:tc>
          <w:tcPr>
            <w:tcW w:w="2428" w:type="dxa"/>
            <w:vAlign w:val="bottom"/>
          </w:tcPr>
          <w:p w:rsidR="00D05061" w:rsidRDefault="00D05061" w:rsidP="003C1C54"/>
        </w:tc>
        <w:tc>
          <w:tcPr>
            <w:tcW w:w="414" w:type="dxa"/>
            <w:vAlign w:val="bottom"/>
          </w:tcPr>
          <w:p w:rsidR="00D05061" w:rsidRDefault="00D05061" w:rsidP="003C1C54"/>
        </w:tc>
        <w:tc>
          <w:tcPr>
            <w:tcW w:w="531" w:type="dxa"/>
            <w:vAlign w:val="bottom"/>
          </w:tcPr>
          <w:p w:rsidR="00D05061" w:rsidRDefault="00D05061" w:rsidP="003C1C54"/>
        </w:tc>
        <w:tc>
          <w:tcPr>
            <w:tcW w:w="772" w:type="dxa"/>
            <w:vAlign w:val="bottom"/>
          </w:tcPr>
          <w:p w:rsidR="00D05061" w:rsidRDefault="00D05061" w:rsidP="003C1C54"/>
        </w:tc>
        <w:tc>
          <w:tcPr>
            <w:tcW w:w="1488" w:type="dxa"/>
            <w:vAlign w:val="bottom"/>
          </w:tcPr>
          <w:p w:rsidR="00D05061" w:rsidRDefault="00D05061" w:rsidP="003C1C54"/>
        </w:tc>
        <w:tc>
          <w:tcPr>
            <w:tcW w:w="1211" w:type="dxa"/>
            <w:vAlign w:val="bottom"/>
          </w:tcPr>
          <w:p w:rsidR="00D05061" w:rsidRDefault="00D05061" w:rsidP="003C1C54"/>
        </w:tc>
      </w:tr>
      <w:tr w:rsidR="00D05061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6"/>
            <w:vAlign w:val="bottom"/>
            <w:hideMark/>
          </w:tcPr>
          <w:p w:rsidR="00D05061" w:rsidRDefault="00D05061" w:rsidP="003C1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</w:p>
          <w:p w:rsidR="00D05061" w:rsidRDefault="00D05061" w:rsidP="003C1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5061" w:rsidRDefault="00D05061" w:rsidP="003C1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адресу г. Красноярск, ул. Партизана Железняка 3-б,</w:t>
            </w:r>
          </w:p>
          <w:p w:rsidR="00D05061" w:rsidRDefault="00D05061" w:rsidP="003C1C5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отдел обеспечения государственных закупок, тел. 220-16-04</w:t>
            </w:r>
          </w:p>
        </w:tc>
      </w:tr>
      <w:tr w:rsidR="00D05061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15099" w:type="dxa"/>
            <w:gridSpan w:val="9"/>
            <w:vAlign w:val="bottom"/>
          </w:tcPr>
          <w:p w:rsidR="00D05061" w:rsidRDefault="00D05061" w:rsidP="003C1C54"/>
        </w:tc>
        <w:tc>
          <w:tcPr>
            <w:tcW w:w="2425" w:type="dxa"/>
            <w:vAlign w:val="bottom"/>
          </w:tcPr>
          <w:p w:rsidR="00D05061" w:rsidRDefault="00D05061" w:rsidP="003C1C54"/>
        </w:tc>
        <w:tc>
          <w:tcPr>
            <w:tcW w:w="2428" w:type="dxa"/>
            <w:vAlign w:val="bottom"/>
          </w:tcPr>
          <w:p w:rsidR="00D05061" w:rsidRDefault="00D05061" w:rsidP="003C1C54"/>
        </w:tc>
        <w:tc>
          <w:tcPr>
            <w:tcW w:w="414" w:type="dxa"/>
            <w:vAlign w:val="bottom"/>
          </w:tcPr>
          <w:p w:rsidR="00D05061" w:rsidRDefault="00D05061" w:rsidP="003C1C54"/>
        </w:tc>
        <w:tc>
          <w:tcPr>
            <w:tcW w:w="531" w:type="dxa"/>
            <w:vAlign w:val="bottom"/>
          </w:tcPr>
          <w:p w:rsidR="00D05061" w:rsidRDefault="00D05061" w:rsidP="003C1C54"/>
        </w:tc>
        <w:tc>
          <w:tcPr>
            <w:tcW w:w="772" w:type="dxa"/>
            <w:vAlign w:val="bottom"/>
          </w:tcPr>
          <w:p w:rsidR="00D05061" w:rsidRDefault="00D05061" w:rsidP="003C1C54"/>
        </w:tc>
        <w:tc>
          <w:tcPr>
            <w:tcW w:w="1488" w:type="dxa"/>
            <w:vAlign w:val="bottom"/>
          </w:tcPr>
          <w:p w:rsidR="00D05061" w:rsidRDefault="00D05061" w:rsidP="003C1C54"/>
        </w:tc>
        <w:tc>
          <w:tcPr>
            <w:tcW w:w="1211" w:type="dxa"/>
            <w:vAlign w:val="bottom"/>
          </w:tcPr>
          <w:p w:rsidR="00D05061" w:rsidRDefault="00D05061" w:rsidP="003C1C54"/>
        </w:tc>
      </w:tr>
      <w:tr w:rsidR="00D05061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6"/>
            <w:vAlign w:val="bottom"/>
            <w:hideMark/>
          </w:tcPr>
          <w:p w:rsidR="00D05061" w:rsidRDefault="00D05061" w:rsidP="003C1C54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27.2018 14:00:00 по местному времени.</w:t>
            </w:r>
          </w:p>
        </w:tc>
      </w:tr>
      <w:tr w:rsidR="00D05061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9" w:type="dxa"/>
            <w:gridSpan w:val="9"/>
            <w:vAlign w:val="bottom"/>
          </w:tcPr>
          <w:p w:rsidR="00D05061" w:rsidRDefault="00D05061" w:rsidP="003C1C54"/>
        </w:tc>
        <w:tc>
          <w:tcPr>
            <w:tcW w:w="2425" w:type="dxa"/>
            <w:vAlign w:val="bottom"/>
          </w:tcPr>
          <w:p w:rsidR="00D05061" w:rsidRDefault="00D05061" w:rsidP="003C1C54"/>
        </w:tc>
        <w:tc>
          <w:tcPr>
            <w:tcW w:w="2428" w:type="dxa"/>
            <w:vAlign w:val="bottom"/>
          </w:tcPr>
          <w:p w:rsidR="00D05061" w:rsidRDefault="00D05061" w:rsidP="003C1C54"/>
        </w:tc>
        <w:tc>
          <w:tcPr>
            <w:tcW w:w="414" w:type="dxa"/>
            <w:vAlign w:val="bottom"/>
          </w:tcPr>
          <w:p w:rsidR="00D05061" w:rsidRDefault="00D05061" w:rsidP="003C1C54"/>
        </w:tc>
        <w:tc>
          <w:tcPr>
            <w:tcW w:w="531" w:type="dxa"/>
            <w:vAlign w:val="bottom"/>
          </w:tcPr>
          <w:p w:rsidR="00D05061" w:rsidRDefault="00D05061" w:rsidP="003C1C54"/>
        </w:tc>
        <w:tc>
          <w:tcPr>
            <w:tcW w:w="772" w:type="dxa"/>
            <w:vAlign w:val="bottom"/>
          </w:tcPr>
          <w:p w:rsidR="00D05061" w:rsidRDefault="00D05061" w:rsidP="003C1C54"/>
        </w:tc>
        <w:tc>
          <w:tcPr>
            <w:tcW w:w="1488" w:type="dxa"/>
            <w:vAlign w:val="bottom"/>
          </w:tcPr>
          <w:p w:rsidR="00D05061" w:rsidRDefault="00D05061" w:rsidP="003C1C54"/>
        </w:tc>
        <w:tc>
          <w:tcPr>
            <w:tcW w:w="1211" w:type="dxa"/>
            <w:vAlign w:val="bottom"/>
          </w:tcPr>
          <w:p w:rsidR="00D05061" w:rsidRDefault="00D05061" w:rsidP="003C1C54"/>
        </w:tc>
      </w:tr>
      <w:tr w:rsidR="00D05061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6"/>
            <w:vAlign w:val="bottom"/>
            <w:hideMark/>
          </w:tcPr>
          <w:p w:rsidR="00D05061" w:rsidRDefault="00D05061" w:rsidP="003C1C5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05061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9" w:type="dxa"/>
            <w:gridSpan w:val="9"/>
            <w:vAlign w:val="bottom"/>
          </w:tcPr>
          <w:p w:rsidR="00D05061" w:rsidRDefault="00D05061" w:rsidP="003C1C54"/>
        </w:tc>
        <w:tc>
          <w:tcPr>
            <w:tcW w:w="2425" w:type="dxa"/>
            <w:vAlign w:val="bottom"/>
          </w:tcPr>
          <w:p w:rsidR="00D05061" w:rsidRDefault="00D05061" w:rsidP="003C1C54"/>
        </w:tc>
        <w:tc>
          <w:tcPr>
            <w:tcW w:w="2428" w:type="dxa"/>
            <w:vAlign w:val="bottom"/>
          </w:tcPr>
          <w:p w:rsidR="00D05061" w:rsidRDefault="00D05061" w:rsidP="003C1C54"/>
        </w:tc>
        <w:tc>
          <w:tcPr>
            <w:tcW w:w="414" w:type="dxa"/>
            <w:vAlign w:val="bottom"/>
          </w:tcPr>
          <w:p w:rsidR="00D05061" w:rsidRDefault="00D05061" w:rsidP="003C1C54"/>
        </w:tc>
        <w:tc>
          <w:tcPr>
            <w:tcW w:w="531" w:type="dxa"/>
            <w:vAlign w:val="bottom"/>
          </w:tcPr>
          <w:p w:rsidR="00D05061" w:rsidRDefault="00D05061" w:rsidP="003C1C54"/>
        </w:tc>
        <w:tc>
          <w:tcPr>
            <w:tcW w:w="772" w:type="dxa"/>
            <w:vAlign w:val="bottom"/>
          </w:tcPr>
          <w:p w:rsidR="00D05061" w:rsidRDefault="00D05061" w:rsidP="003C1C54"/>
        </w:tc>
        <w:tc>
          <w:tcPr>
            <w:tcW w:w="1488" w:type="dxa"/>
            <w:vAlign w:val="bottom"/>
          </w:tcPr>
          <w:p w:rsidR="00D05061" w:rsidRDefault="00D05061" w:rsidP="003C1C54"/>
        </w:tc>
        <w:tc>
          <w:tcPr>
            <w:tcW w:w="1211" w:type="dxa"/>
            <w:vAlign w:val="bottom"/>
          </w:tcPr>
          <w:p w:rsidR="00D05061" w:rsidRDefault="00D05061" w:rsidP="003C1C54"/>
        </w:tc>
      </w:tr>
      <w:tr w:rsidR="00D05061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9" w:type="dxa"/>
            <w:gridSpan w:val="9"/>
            <w:vAlign w:val="bottom"/>
          </w:tcPr>
          <w:p w:rsidR="00D05061" w:rsidRDefault="00D05061" w:rsidP="003C1C54"/>
        </w:tc>
        <w:tc>
          <w:tcPr>
            <w:tcW w:w="2425" w:type="dxa"/>
            <w:vAlign w:val="bottom"/>
          </w:tcPr>
          <w:p w:rsidR="00D05061" w:rsidRDefault="00D05061" w:rsidP="003C1C54"/>
        </w:tc>
        <w:tc>
          <w:tcPr>
            <w:tcW w:w="2428" w:type="dxa"/>
            <w:vAlign w:val="bottom"/>
          </w:tcPr>
          <w:p w:rsidR="00D05061" w:rsidRDefault="00D05061" w:rsidP="003C1C54"/>
        </w:tc>
        <w:tc>
          <w:tcPr>
            <w:tcW w:w="414" w:type="dxa"/>
            <w:vAlign w:val="bottom"/>
          </w:tcPr>
          <w:p w:rsidR="00D05061" w:rsidRDefault="00D05061" w:rsidP="003C1C54"/>
        </w:tc>
        <w:tc>
          <w:tcPr>
            <w:tcW w:w="531" w:type="dxa"/>
            <w:vAlign w:val="bottom"/>
          </w:tcPr>
          <w:p w:rsidR="00D05061" w:rsidRDefault="00D05061" w:rsidP="003C1C54"/>
        </w:tc>
        <w:tc>
          <w:tcPr>
            <w:tcW w:w="772" w:type="dxa"/>
            <w:vAlign w:val="bottom"/>
          </w:tcPr>
          <w:p w:rsidR="00D05061" w:rsidRDefault="00D05061" w:rsidP="003C1C54"/>
        </w:tc>
        <w:tc>
          <w:tcPr>
            <w:tcW w:w="1488" w:type="dxa"/>
            <w:vAlign w:val="bottom"/>
          </w:tcPr>
          <w:p w:rsidR="00D05061" w:rsidRDefault="00D05061" w:rsidP="003C1C54"/>
        </w:tc>
        <w:tc>
          <w:tcPr>
            <w:tcW w:w="1211" w:type="dxa"/>
            <w:vAlign w:val="bottom"/>
          </w:tcPr>
          <w:p w:rsidR="00D05061" w:rsidRDefault="00D05061" w:rsidP="003C1C54"/>
        </w:tc>
      </w:tr>
      <w:tr w:rsidR="00D05061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9" w:type="dxa"/>
            <w:gridSpan w:val="9"/>
            <w:vAlign w:val="bottom"/>
          </w:tcPr>
          <w:p w:rsidR="00D05061" w:rsidRDefault="00D05061" w:rsidP="003C1C54"/>
        </w:tc>
        <w:tc>
          <w:tcPr>
            <w:tcW w:w="2425" w:type="dxa"/>
            <w:vAlign w:val="bottom"/>
          </w:tcPr>
          <w:p w:rsidR="00D05061" w:rsidRDefault="00D05061" w:rsidP="003C1C54"/>
        </w:tc>
        <w:tc>
          <w:tcPr>
            <w:tcW w:w="2428" w:type="dxa"/>
            <w:vAlign w:val="bottom"/>
          </w:tcPr>
          <w:p w:rsidR="00D05061" w:rsidRDefault="00D05061" w:rsidP="003C1C54"/>
        </w:tc>
        <w:tc>
          <w:tcPr>
            <w:tcW w:w="414" w:type="dxa"/>
            <w:vAlign w:val="bottom"/>
          </w:tcPr>
          <w:p w:rsidR="00D05061" w:rsidRDefault="00D05061" w:rsidP="003C1C54"/>
        </w:tc>
        <w:tc>
          <w:tcPr>
            <w:tcW w:w="531" w:type="dxa"/>
            <w:vAlign w:val="bottom"/>
          </w:tcPr>
          <w:p w:rsidR="00D05061" w:rsidRDefault="00D05061" w:rsidP="003C1C54"/>
        </w:tc>
        <w:tc>
          <w:tcPr>
            <w:tcW w:w="772" w:type="dxa"/>
            <w:vAlign w:val="bottom"/>
          </w:tcPr>
          <w:p w:rsidR="00D05061" w:rsidRDefault="00D05061" w:rsidP="003C1C54"/>
        </w:tc>
        <w:tc>
          <w:tcPr>
            <w:tcW w:w="1488" w:type="dxa"/>
            <w:vAlign w:val="bottom"/>
          </w:tcPr>
          <w:p w:rsidR="00D05061" w:rsidRDefault="00D05061" w:rsidP="003C1C54"/>
        </w:tc>
        <w:tc>
          <w:tcPr>
            <w:tcW w:w="1211" w:type="dxa"/>
            <w:vAlign w:val="bottom"/>
          </w:tcPr>
          <w:p w:rsidR="00D05061" w:rsidRDefault="00D05061" w:rsidP="003C1C54"/>
        </w:tc>
      </w:tr>
      <w:tr w:rsidR="00D05061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6"/>
            <w:vAlign w:val="bottom"/>
            <w:hideMark/>
          </w:tcPr>
          <w:p w:rsidR="00D05061" w:rsidRDefault="00D05061" w:rsidP="003C1C5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5061" w:rsidTr="00D05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6"/>
            <w:vAlign w:val="bottom"/>
            <w:hideMark/>
          </w:tcPr>
          <w:p w:rsidR="00D05061" w:rsidRDefault="00D05061" w:rsidP="003C1C54"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D05061" w:rsidRDefault="00D05061" w:rsidP="00D05061"/>
    <w:p w:rsidR="00000000" w:rsidRDefault="00D05061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3638"/>
    <w:rsid w:val="00336DE4"/>
    <w:rsid w:val="00443638"/>
    <w:rsid w:val="004C726D"/>
    <w:rsid w:val="00D0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99D98-BCA2-40F4-8CE4-E115B49F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21</Pages>
  <Words>5695</Words>
  <Characters>32467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2018-11-23T09:15:00Z</dcterms:created>
  <dcterms:modified xsi:type="dcterms:W3CDTF">2018-11-23T10:14:00Z</dcterms:modified>
</cp:coreProperties>
</file>