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092"/>
        <w:gridCol w:w="2646"/>
        <w:gridCol w:w="593"/>
        <w:gridCol w:w="757"/>
        <w:gridCol w:w="968"/>
        <w:gridCol w:w="1771"/>
        <w:gridCol w:w="1480"/>
      </w:tblGrid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 w:rsidRPr="00BF7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Pr="00BF7599" w:rsidRDefault="00BF75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</w:tr>
      <w:tr w:rsidR="00A02823" w:rsidRPr="00BF7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Pr="00BF7599" w:rsidRDefault="00BF7599">
            <w:pPr>
              <w:jc w:val="center"/>
              <w:rPr>
                <w:lang w:val="en-US"/>
              </w:rPr>
            </w:pPr>
            <w:r w:rsidRPr="00BF75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2823" w:rsidRPr="00BF7599" w:rsidRDefault="00A02823">
            <w:pPr>
              <w:rPr>
                <w:lang w:val="en-US"/>
              </w:rPr>
            </w:pP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Pr="00BF7599" w:rsidRDefault="00BF7599" w:rsidP="00BF75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29/11/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для аспирации костного мозга из грудины 15G x 10-50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аспирации костного мозга из грудины (одноразовая, стерильная). Игла имеет тройную заточку и удобную рукоятку. Механизм регулировки длины имеет миллиметровую шкалу. Размер 15G (1,8мм) с регулируемой длиной от 1 до 3 см, максимальная длина иглы 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кратковременного или длительного периферийного доступа к центральной венозной системе с 4F катетером со стилетом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периферически-имплантируемый одноходовой в расширенном наборе с аксессуарами: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термопластичного полиуретана, имеет нанесенные на поверхности метки глубины каждый сантиметр, размер катетера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катетера не менее 50 см, регулируемая за счет возможности отрезания дистального конца, внутренний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просвет катетера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18G,  внутренний объем при максимальной длине не более 1мл, скорость потока гравитационная при максимальной длине не менее 1000 мл/час, скорость потока максимальная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насос под давлением - 5 мл/с, выдерживает давл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до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дистальный конец катетера открытый, проксимальный конец имеет стандартный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клапан, позволяющий не использовать гепарин при работе с катетером; в наборе: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пункционная игла стальная кали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 21G длиной не менее 7см;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(из никель-титанового сплава) толщиной 0,46мм (0,018 дюйма), длиной не менее 50см, не перегибаемый в центральной части,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мягким дистальным концом, с проксимальным сгибаемым концом с памятью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формы длиной не менее 10см для профилактики случайной эмболии проводника, на проводнике нанесены метки глубины;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4,5Fr и длиной не менее 7см, с дилататором из пластика, с расщепляемой оболочкой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ьпель одноразовый с защитой от случайного пореза медперсонала; сантиметровая измерительная лента одноразовая,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терминальной ветви; фиксатор катетера накожный пластиковый бесшовный с клейкой основой; шприц объемом не менее 10мл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гиподермальная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калибром 25G для введения кожного анестетика; повязка накожная прозрачная размером не менее 7х7см для закрытия области выхода катетера из кожи; простыня хирургическая с отверстием для накрытия операционного поля; абсорбирующее полотен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це; скатерть на операционный столик;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безлатексный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венозный жгут; маска операционная для врача; ножницы;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безлатексные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хирургические перчатки - одна пара; чехол для УЗИ датчика, пакетик с ультразвуковым гелем объемом не менее 20мл; стилет с коннекторами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положения катетера под ЭКГ контролем; документация на русском языке в упаковке: инструкция по использованию катетера, инструкция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карточка пациента, листовка с описанием технических характеристик катетера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вводимый периферически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 4F, длина 60 см с принадлежностями в наборе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периферически-имплантируемый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Groshong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одноходовой, 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катетер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силикона, имеет нанесенные на поверхности метки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глубины каждый сантиметр,  размер катетера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катетера 60 см, регулируемая за счет возможности отрезания проксимального конца, диаметр просвета катетера 0,8 мм,  наружный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1,4мм, скорость потока гравитационная при длине 60см - 540 мл/час, внутренний объем при длине 60см - 0,42мл; дистальный конец катетера закрытый, с закругленным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с боковым трехпозиционным клапаном с длиной прорези 5мм,  обеспечи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аспирацию крови, уменьшающим риск воздушной эмболии, обратного заброса крови и внутрисосудистого свертывания, позволяющим не использовать гепарин при работе с катетером, на дистальном конце катетера метка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комплекте: металлический стилет (введен внутрь катетера)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возможностью промывания катетера с находящимся внутри стилетом – 1шт., присоединяемая проксимальная ветвь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колпачок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пункционная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 стальная 21G – 1шт.,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0,18'', длиной 50см – 1шт.; пластиковый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дилататором с расщепляемой оболочкой, размером 4,5Fr, длиной 10см – 1шт.; скальпель стальной с предохранительным устройством – 1шт.;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крыльча</w:t>
            </w:r>
            <w:r>
              <w:rPr>
                <w:rFonts w:ascii="Times New Roman" w:hAnsi="Times New Roman"/>
                <w:sz w:val="24"/>
                <w:szCs w:val="24"/>
              </w:rPr>
              <w:t>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 катетера – 1 шт.; устройство для накожной бесшовной фиксации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полиуретановой пены с пластиковым зажимом - 1 шт.; документация на русском языке в упаковке: инструкция по использованию катетера, инструкция по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кроинтродьюсера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карточка пациента, листовка с описанием технических характеристик катетера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BF75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823" w:rsidRDefault="00A0282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Pr="00BF7599" w:rsidRDefault="00BF7599" w:rsidP="00BF7599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Pr="00BF7599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>год, по потребности Заказчика.</w:t>
            </w:r>
            <w:r w:rsidRPr="00BF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 w:rsidP="00BF759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.12.2018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2823" w:rsidRDefault="00A02823"/>
        </w:tc>
        <w:tc>
          <w:tcPr>
            <w:tcW w:w="2533" w:type="dxa"/>
            <w:shd w:val="clear" w:color="FFFFFF" w:fill="auto"/>
            <w:vAlign w:val="bottom"/>
          </w:tcPr>
          <w:p w:rsidR="00A02823" w:rsidRDefault="00A02823"/>
        </w:tc>
        <w:tc>
          <w:tcPr>
            <w:tcW w:w="3321" w:type="dxa"/>
            <w:shd w:val="clear" w:color="FFFFFF" w:fill="auto"/>
            <w:vAlign w:val="bottom"/>
          </w:tcPr>
          <w:p w:rsidR="00A02823" w:rsidRDefault="00A02823"/>
        </w:tc>
        <w:tc>
          <w:tcPr>
            <w:tcW w:w="111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286" w:type="dxa"/>
            <w:shd w:val="clear" w:color="FFFFFF" w:fill="auto"/>
            <w:vAlign w:val="bottom"/>
          </w:tcPr>
          <w:p w:rsidR="00A02823" w:rsidRDefault="00A02823"/>
        </w:tc>
        <w:tc>
          <w:tcPr>
            <w:tcW w:w="1470" w:type="dxa"/>
            <w:shd w:val="clear" w:color="FFFFFF" w:fill="auto"/>
            <w:vAlign w:val="bottom"/>
          </w:tcPr>
          <w:p w:rsidR="00A02823" w:rsidRDefault="00A02823"/>
        </w:tc>
        <w:tc>
          <w:tcPr>
            <w:tcW w:w="2087" w:type="dxa"/>
            <w:shd w:val="clear" w:color="FFFFFF" w:fill="auto"/>
            <w:vAlign w:val="bottom"/>
          </w:tcPr>
          <w:p w:rsidR="00A02823" w:rsidRDefault="00A02823"/>
        </w:tc>
        <w:tc>
          <w:tcPr>
            <w:tcW w:w="1903" w:type="dxa"/>
            <w:shd w:val="clear" w:color="FFFFFF" w:fill="auto"/>
            <w:vAlign w:val="bottom"/>
          </w:tcPr>
          <w:p w:rsidR="00A02823" w:rsidRDefault="00A02823"/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2823" w:rsidRDefault="00BF7599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BF75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823"/>
    <w:rsid w:val="00A02823"/>
    <w:rsid w:val="00B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4AB92-6377-4652-B185-6F36505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2018-11-29T03:35:00Z</dcterms:created>
  <dcterms:modified xsi:type="dcterms:W3CDTF">2018-11-29T03:37:00Z</dcterms:modified>
</cp:coreProperties>
</file>