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10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67"/>
        <w:gridCol w:w="2700"/>
        <w:gridCol w:w="610"/>
        <w:gridCol w:w="636"/>
        <w:gridCol w:w="849"/>
        <w:gridCol w:w="1697"/>
        <w:gridCol w:w="1381"/>
        <w:gridCol w:w="1894"/>
        <w:gridCol w:w="2490"/>
        <w:gridCol w:w="627"/>
        <w:gridCol w:w="789"/>
        <w:gridCol w:w="992"/>
        <w:gridCol w:w="1761"/>
        <w:gridCol w:w="1486"/>
      </w:tblGrid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1455" w:type="dxa"/>
            <w:gridSpan w:val="2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RP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Pr="00890097" w:rsidRDefault="008900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8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</w:tr>
      <w:tr w:rsidR="00193473" w:rsidRP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Pr="00890097" w:rsidRDefault="00890097">
            <w:pPr>
              <w:jc w:val="center"/>
              <w:rPr>
                <w:lang w:val="en-US"/>
              </w:rPr>
            </w:pPr>
            <w:r w:rsidRPr="008900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93473" w:rsidRPr="00890097" w:rsidRDefault="00193473">
            <w:pPr>
              <w:rPr>
                <w:lang w:val="en-US"/>
              </w:rPr>
            </w:pPr>
          </w:p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 w:rsidP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№.1401-18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193473" w:rsidRDefault="00193473"/>
        </w:tc>
        <w:tc>
          <w:tcPr>
            <w:tcW w:w="2711" w:type="dxa"/>
            <w:shd w:val="clear" w:color="FFFFFF" w:fill="auto"/>
            <w:vAlign w:val="bottom"/>
          </w:tcPr>
          <w:p w:rsidR="00193473" w:rsidRDefault="00193473"/>
        </w:tc>
        <w:tc>
          <w:tcPr>
            <w:tcW w:w="2645" w:type="dxa"/>
            <w:shd w:val="clear" w:color="FFFFFF" w:fill="auto"/>
            <w:vAlign w:val="bottom"/>
          </w:tcPr>
          <w:p w:rsidR="00193473" w:rsidRDefault="00193473"/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5704" w:type="dxa"/>
            <w:gridSpan w:val="3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193473" w:rsidRDefault="00193473"/>
        </w:tc>
        <w:tc>
          <w:tcPr>
            <w:tcW w:w="2711" w:type="dxa"/>
            <w:shd w:val="clear" w:color="FFFFFF" w:fill="auto"/>
            <w:vAlign w:val="bottom"/>
          </w:tcPr>
          <w:p w:rsidR="00193473" w:rsidRDefault="00193473"/>
        </w:tc>
        <w:tc>
          <w:tcPr>
            <w:tcW w:w="2645" w:type="dxa"/>
            <w:shd w:val="clear" w:color="FFFFFF" w:fill="auto"/>
            <w:vAlign w:val="bottom"/>
          </w:tcPr>
          <w:p w:rsidR="00193473" w:rsidRDefault="00193473"/>
        </w:tc>
        <w:tc>
          <w:tcPr>
            <w:tcW w:w="598" w:type="dxa"/>
            <w:shd w:val="clear" w:color="FFFFFF" w:fill="auto"/>
            <w:vAlign w:val="bottom"/>
          </w:tcPr>
          <w:p w:rsidR="00193473" w:rsidRDefault="00193473"/>
        </w:tc>
        <w:tc>
          <w:tcPr>
            <w:tcW w:w="635" w:type="dxa"/>
            <w:shd w:val="clear" w:color="FFFFFF" w:fill="auto"/>
            <w:vAlign w:val="bottom"/>
          </w:tcPr>
          <w:p w:rsidR="00193473" w:rsidRDefault="00193473"/>
        </w:tc>
        <w:tc>
          <w:tcPr>
            <w:tcW w:w="820" w:type="dxa"/>
            <w:shd w:val="clear" w:color="FFFFFF" w:fill="auto"/>
            <w:vAlign w:val="bottom"/>
          </w:tcPr>
          <w:p w:rsidR="00193473" w:rsidRDefault="00193473"/>
        </w:tc>
        <w:tc>
          <w:tcPr>
            <w:tcW w:w="1663" w:type="dxa"/>
            <w:shd w:val="clear" w:color="FFFFFF" w:fill="auto"/>
            <w:vAlign w:val="bottom"/>
          </w:tcPr>
          <w:p w:rsidR="00193473" w:rsidRDefault="00193473"/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9420" w:type="dxa"/>
            <w:gridSpan w:val="7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53" w:type="dxa"/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масочный одноразовый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масочный (маска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 предназначен для преодоления трудностей интубации и обеспечения проходимости дыхательных путей при общей анестезии. Изготовлен из медицинского ПВХ, не содержит латекса. Состо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 из трех основных компонентов: 1) маска с манжетой, имеющая элеватор надгортанника над входным отверстием трубки воздуховода; 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жесткая,  анатомически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изогнутая дыхательная трубка с рукояткой и стандартным 15 мм коннектором на конце; 3) магистраль для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аздувания и сдувания манжеты, имеющая на конце контрольный баллон и клапан. На манжету надет пластмассовый чехол для защиты от механических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повреждений. Жёсткая рукоятка позволяет устанавливать, удалять и управлять положением воздуховода одной рукой; трубк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воздуховода имеет достаточный внутренний диаметр для проведения 8 мм армированной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(ЭТТ) с манжетой; гибкий элеватор надгортанника закреплен одним концом в чаше маски и поднимает надгортанник при прохождении ЭТТ через маску.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уальная стерильная упаковка. На изделие нанесена маркировка, содержащая: наименование модели, размер маски, допустимый вес пациента, объём закачиваемого в манжету воздуха, допустимое максимальное давление воздуха в манжете, знак "Не содержит латекса", запр</w:t>
            </w:r>
            <w:r>
              <w:rPr>
                <w:rFonts w:ascii="Times New Roman" w:hAnsi="Times New Roman"/>
                <w:sz w:val="24"/>
                <w:szCs w:val="24"/>
              </w:rPr>
              <w:t>ет на повторное применение. На трубке нанесены поперечные сантиметровые отметки, пронумерованные от 1 до 6, с началом отсчета от рукоятки. Стерильно, стерилизовано окисью этилена. Срок годности нового изделия – 24 месяца. Диапазон допустимого веса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 50 до 70 кг; объём закачиваемого в манжету воздуха – 30 мл; допустимое максимальное давление воздуха в манжете – 60 см H₂O.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масочный одноразовый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масочный (маска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преодоления трудностей интубации и обеспечения проходимости дыхательных путей при общей анестезии. Изготовлен из медицинского ПВХ, не содержит латекса. Состоит из трех основных компонентов: 1) маска с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анжетой, имеющая элеватор надгортанника над входным отверстием трубки воздуховода; 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жесткая,  анатомически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изогнутая дыхательная трубка с рукояткой и стандартным 15 мм коннектором на конце; 3) магистраль для раздувания и сдувания манжеты, имеющая на конц</w:t>
            </w:r>
            <w:r>
              <w:rPr>
                <w:rFonts w:ascii="Times New Roman" w:hAnsi="Times New Roman"/>
                <w:sz w:val="24"/>
                <w:szCs w:val="24"/>
              </w:rPr>
              <w:t>е контрольный баллон и клапан. На манжету надет пластмассовый чехол для защиты от механических повреждений. Жёсткая рукоятка позволяет устанавливать, удалять и управлять положением воздуховода одной рукой; трубка воздуховода имеет достаточный внутренний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 для проведения 8 мм армированной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(ЭТТ) с манжетой; гибкий элеватор надгортанника закреплен одним концом в чаше маски и поднимает надгортанник при прохождении ЭТТ через маску. Индивидуальная стерильная упаковка. На изделие нанес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маркировка, содержащая: наименование модели, размер маски, допустимый вес пациента, объём закачиваемого в манжету воздуха, допустимое максимальное давление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воздуха в манжете, знак "Не содержит латекса", запрет на повторное применение. На трубке нанесен</w:t>
            </w:r>
            <w:r>
              <w:rPr>
                <w:rFonts w:ascii="Times New Roman" w:hAnsi="Times New Roman"/>
                <w:sz w:val="24"/>
                <w:szCs w:val="24"/>
              </w:rPr>
              <w:t>ы поперечные сантиметровые отметки, пронумерованные от 1 до 6, с началом отсчета от рукоятки. Стерильно, стерилизовано окисью этилена. Срок годности нового изделия – 24месяца. Диапазон допустимого веса пациента – от 70 до 100 кг; объём закачиваемого в манж</w:t>
            </w:r>
            <w:r>
              <w:rPr>
                <w:rFonts w:ascii="Times New Roman" w:hAnsi="Times New Roman"/>
                <w:sz w:val="24"/>
                <w:szCs w:val="24"/>
              </w:rPr>
              <w:t>ету воздуха – 40 мл; допустимое максимальное давление воздуха в манжете – 60 см H₂O.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масочный одноразовый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масочный (маска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однократного применения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преодоления трудностей интубации и обеспечения проходимости дыхательных путей при общей анестезии. Изготовлен из медицинского ПВХ, не содержит латекса. Состоит из трех основных компонентов: 1) маска с манжетой, имеющая элеватор надгортанника над входным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верстием трубки воздуховода; 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жесткая,  анатомически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изогнутая дыхательная трубка с рукояткой и стандартным 15 мм коннектором на конце; 3) магистраль для раздувания и сдувания манжеты, имеющая на конце контрольный баллон и клапан. На манжету надет пластм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ассовый чехол для защиты от механических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повреждений. Жёсткая рукоятка позволяет устанавливать, удалять и управлять положением воздуховода одной рукой; трубка воздуховода имеет достаточный внутренний диаметр для проведения 8 мм армированной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(ЭТТ) с манжетой; гибкий элеватор надгортанника закреплен одним концом в чаше маски и поднимает надгортанник при прохождении ЭТТ через маску. На изделие нанесена маркировка, содержащая: наименование модели, размер маски, допустимый вес пациента, об</w:t>
            </w:r>
            <w:r>
              <w:rPr>
                <w:rFonts w:ascii="Times New Roman" w:hAnsi="Times New Roman"/>
                <w:sz w:val="24"/>
                <w:szCs w:val="24"/>
              </w:rPr>
              <w:t>ъём закачиваемого в манжету воздуха, допустимое максимальное давление воздуха в манжете, знак "Не содержит латекса", запрет на повторное применение. На трубке нанесены поперечные сантиметровые отметки, пронумерованные от 1 до 6, с началом отсчета от рукоят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 Стерильно, стерилизовано окисью этилена. Срок годности нового изделия – 24 месяца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допустимого веса пациента – от 30 до 50 кг; объём закачиваемого в манжету воздуха – 20 мл; допустимое максимальное давление воздуха в манжете – 60 см H₂O.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однократного применения предназначена для проведения в трахею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воздуховод 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SU. Изготовлена из медицинского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латекса, армирована металлической спиралью. Трубка имеет: встроенный порт для раздувания манжеты низкого давления; мягкий закруглённый кончик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съёмный 15 мм коннектор. Индивидуальная стерильная упаковка. В упаковку вложен стабилизатор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Stabiliz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 позволяет извлекать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маску 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интубации, при этом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остается на месте. Стабилизатор изготовлен из медицинского ПВХ, выполнен в форме цельнолитого гибкого стержня диаметром не более 10 мм и </w:t>
            </w:r>
            <w:r>
              <w:rPr>
                <w:rFonts w:ascii="Times New Roman" w:hAnsi="Times New Roman"/>
                <w:sz w:val="24"/>
                <w:szCs w:val="24"/>
              </w:rPr>
              <w:t>длиной 22 см, маркирован сантиметровыми отметками от 1 до 17, не содержит латекса. На трубку нанесена маркировка, содержащая: наименование модели, значения внутреннего и наружного диаметров трубки, знак "Не содержит латекса", запрет на повторное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. Вдоль трубки нанесены поперечные пронумерованные отметки от 16 до 26 через каждые 2 см. Стерилизовано окисью этилена. Срок годности нового изделия −  3 года. Характеристики трубки: внутренний диаметр − 7.5 мм; наружный диаметр − 10.3 мм; длина − 31 см.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однократного применения предназначена для проведения в трахею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воздуховод 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SU. Изготовлена из медицинского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латекса, армирована металлической спиралью. Трубка имеет: встроенный порт для раздувания манжеты низкого давления; мягкий закруглённый кончик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съёмный 15 мм коннектор. Индивидуальная стерильная упаковка. В упаковку вложен стабилизатор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Stabiliz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 позволяет извлекать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маску 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интубации, при этом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остается на месте. Стабилизатор изготовлен из медицинского ПВХ, выполнен в форме цельнолитого гибкого стержня диаметром не более 10 мм и </w:t>
            </w:r>
            <w:r>
              <w:rPr>
                <w:rFonts w:ascii="Times New Roman" w:hAnsi="Times New Roman"/>
                <w:sz w:val="24"/>
                <w:szCs w:val="24"/>
              </w:rPr>
              <w:t>длиной 22 см, маркирован сантиметровыми отметками от 1 до 17, не содержит латекса. На трубку нанесена маркировка, содержащая: наименование модели, значения внутреннего и наружного диаметров трубки, знак "Не содержит латекса", запрет на повторное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Вдоль трубки нанесены поперечные пронумерованные отметки от 16 до 26 через каждые 2 см. Стерилизовано окисью этилена. Срок годности нового изделия −  3 года.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трубки: внутренний диаметр − 8.0 мм; наружный диаметр − 10.8 мм; длина − 31 см.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однократного применения предназначена для проведения в трахею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воздуховод 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SU. Изготовлена из медицинского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латекса, армирована металлической спиралью. Трубка имеет: встроенный порт для раздувания манжеты низкого давления; мягкий закруглённый кончик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съёмный 15 мм коннектор. Индивидуальная стерильная упаковка. В упаковку вложен стабилизатор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Stabiliz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 позволяет извлекать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маску 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интубации, при этом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остается на месте. Стабилизатор изготовлен из медицинского ПВХ, выполнен в форме цельнолитого гибкого стержня диаметром не более 10 мм и </w:t>
            </w:r>
            <w:r>
              <w:rPr>
                <w:rFonts w:ascii="Times New Roman" w:hAnsi="Times New Roman"/>
                <w:sz w:val="24"/>
                <w:szCs w:val="24"/>
              </w:rPr>
              <w:t>длиной 22 см, маркирован сантиметровыми отметками от 1 до 17, не содержит латекса. На трубку нанесена маркировка, содержащая: наименование модели, значения внутреннего и наружного диаметров трубки, знак "Не содержит латекса", запрет на повторное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Вдоль трубки нанесены поперечные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пронумерованные отметки от 16 до 26 через каждые 2 см. Стерилизовано окисью этилена. Срок годности нового изделия −  24 месяца. Характеристики трубки: внутренний диаметр − 7.0 мм; наружный диаметр − 9.8 мм; длина − 31 см.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3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</w:t>
            </w:r>
            <w:r>
              <w:rPr>
                <w:rFonts w:ascii="Times New Roman" w:hAnsi="Times New Roman"/>
                <w:sz w:val="24"/>
                <w:szCs w:val="24"/>
              </w:rPr>
              <w:t>предотвращает окклюзию воздуховода при сжатии челюстей пациента, цветовой код размера: №3 - зелёный. Длина 78±5 мм. Чистая упаковка.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4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размера: №4 - жёлтый</w:t>
            </w:r>
            <w:r>
              <w:rPr>
                <w:rFonts w:ascii="Times New Roman" w:hAnsi="Times New Roman"/>
                <w:sz w:val="24"/>
                <w:szCs w:val="24"/>
              </w:rPr>
              <w:t>. Длина 90±5 мм. Чистая упаковка. Одноразового использования.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изготовлен из мягкого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размера: №2 - зелёный. Длина 80±5 мм. Чистая упаковка.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педиатрический гладкоствольный с двумя самогерметизирующимися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влагосборниками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1,6 м с дополнительным шлангом 0,4 м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транспортировка дыхательной смеси к пациенту. Описание: Гладкоствольная линия вдоха с внешним армированием по гипоциклоид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диаметром 15 мм, состоящая из  шланга длиной 0,4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15F на аппарат и 22F на камеру увлажнителя;  двух шлангов длиной 0,8 м (каждый)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22F на камеру увлажнителя, самогерметизирующийся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 на тройник пациента; самогерметизирующийся полностью разборный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объемом 70 мл с разъемами для подключения к шлангам 22M/15F-22M/15F, с  внутренним шариковым пружинным клапаном, обеспечивающем герметизацию воздушного канала при любом 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противоскользящими насечками на основании корпуса. Гладкоствольная линия выдоха с внешним армированием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гипоциклоиде диаметром 15 мм, состоящая из двух шлангов длиной 0,8 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каждый)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22F на аппарат, самогер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метизирующийся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15F на тройник пациента; самогерметизирующийся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Y-образный прозрачный соединитель с портами 7,6 мм, с заглушками откидного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15М-15М-22М/15F. Предохранительный колпачок ребристой структуры  22F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штуцером для фиксации контура. Адаптеры- коннекторы для подключения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контура  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М-15М-2 шт., 22М-22М – 2 шт., 22F-15M- 1 шт. в комплекте. Материалы: полипропилен, полиэтилен, эластомер. Не содержит латекса. Клинически чисто. В индивидуальной упаковке. О</w:t>
            </w:r>
            <w:r>
              <w:rPr>
                <w:rFonts w:ascii="Times New Roman" w:hAnsi="Times New Roman"/>
                <w:sz w:val="24"/>
                <w:szCs w:val="24"/>
              </w:rPr>
              <w:t>днократного применения. Срок годности: не менее 5 лет от даты выпуска.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 укрывное для взрослых, нестерильное, полное, для прибора EQ-5000 №10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 для прибора EQ-5000. Зона обогрева: шейно-воротниковая область, туловище и нижние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конечности. Одеяло изготовлено из двух склеенных термопечатью листков волокнистого нетканого материала, имеющего в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экструдированный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тонковолоконный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полипропилен, спаянный на каландре. Внутренние терморегулирующие распределительные каналы - линейные.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каждого канала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заполненном воздухом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состоянии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65 мм. Форсунки на поверхности канала, на обращённой к пациенту стороне. Внешнее водоотталкивающее полиэтиленовое покрытие с биологически инертной огнезащитной пропиткой (инертные смолы 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плотности – негорючие самогасящиеся составы). У одеяла должна быть абсолютная биологическая инертность. Размеры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одеяла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203 x 102 см. Индивидуальная клинически чистая упаковка у каждого одеяла, пользовательская – по 10 штук в коробке.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лента крепления; р.4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(средний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>
              <w:rPr>
                <w:rFonts w:ascii="Times New Roman" w:hAnsi="Times New Roman"/>
                <w:sz w:val="24"/>
                <w:szCs w:val="24"/>
              </w:rPr>
              <w:t>аспирационная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т.п., дополнительная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одача кислорода. Состав: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складывание надгортанника; широкий воздуховод – ротовой стабилизатор стандартно изогнутый; стандартный коннектор 15 мм; встроенный в воздухово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 для желудочного зонда,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индикатор правильной установки; дополнительный кислородный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расположенный на проксимальном конце воздуховода, порт снабжен герметизирующим колпачком;  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Размер 4,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50 до 90 кг,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7,0мм,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высокой плотности. Не содержит латекса, стерильно. Срок годности: 2 года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вводимый периферически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 4F, длина 60 см с принадлежностями в наборе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периферически-имплантируемый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Groshong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одноходовой, 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катетер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силикона,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нанесенные на поверхности метки глубины каждый сантиметр,  размер катетера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катетера 60 см, регулируемая за счет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отрезания проксимального конца, диаметр просвета катетера 0,8 мм,  наружный диаметр 1,4мм, скорость потока гравитацион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при длине 60см - 540 мл/час, внутренний объем при длине 60см - 0,42мл; дистальный конец катетера закрытый, с закругленным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с боковым трехпозиционным клапаном с длиной прорези 5мм,  обеспечивающим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аспирацию крови,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ньшающим риск воздушной эмболии, обратного заброса крови и внутрисосудистого свертывания, позволяющим не использовать гепарин при работе с катетером, на дистальном конце катетера метка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комплекте: металлический стилет (вв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 внутрь катетера)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возможностью промывания катетера с находящимся внутри стилетом – 1шт., присоединяемая проксимальная ветвь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пункционная игла стальная 21G – 1шт.,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0,18'', длиной 50см – 1шт.; 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дилататором с расщепляемой оболочкой, размером 4,5Fr, длиной 10см – 1шт.; скальпель стальной с предохранительным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устройством – 1шт.;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крыльчатый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 катетера – 1 шт.; устрой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для накожной бесшовной фиксации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полиуретановой пены с пластиковым зажимом - 1 шт.; документация на русском языке в упаковке: инструкция по использованию катетера, инструкция по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карточка пациента, л</w:t>
            </w:r>
            <w:r>
              <w:rPr>
                <w:rFonts w:ascii="Times New Roman" w:hAnsi="Times New Roman"/>
                <w:sz w:val="24"/>
                <w:szCs w:val="24"/>
              </w:rPr>
              <w:t>истовка с описанием технических характеристик катетера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стимулирующая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проводниковой анестезии под контролем УЗИ, заточка 30°, 22G - 50 мм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стимулирующая игла для поиска нервных сплетений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электронейростимулятора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и/или под контролем УЗИ. Технические характеристики: тонкостенная игла 22G 0,7 х 50 мм, со срезом 30°, изолированная до среза; ровная гладкая поверхность, несмываемая разметка длины с шагом 1 см;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лазерные метки, нанесенные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паттернами по всей длине иглы, скрытые под изолирующим покрытием; кабель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нейростимулятором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нейростимуляторами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удлинительная линия для введения медикаментов,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медицинская защитная 5,8 х 7,6 см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защитная фиксирующая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прозрачной мембраной для периферических венозных катетеров. Устанавливается на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дней. Имеет фиксирующую рамку, выполненную на пенной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(полиэтиленовая пена), которая обеспечивает надежную фиксацию катетера и предотвращает попадание различных видов секрета и микроорганизмов под повязку. Рамка имеет выемку для свободной установки канюли с портом и расширенные лопасти для надежной фиксации к</w:t>
            </w:r>
            <w:r>
              <w:rPr>
                <w:rFonts w:ascii="Times New Roman" w:hAnsi="Times New Roman"/>
                <w:sz w:val="24"/>
                <w:szCs w:val="24"/>
              </w:rPr>
              <w:t>рыльев канюли. Размеры 5,8х7,6см. Прозрачная мембрана (полупроницаемый полиуретан) в центральной части устройства, благодаря которой накопления влаги под повязкой не происходит. Обладает барьерными свойствами, препятствует проникновению микроорганизмов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не. Три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(малая, средняя, большая) из полиэтилена на пенной основе. С внутренней стороны покрыта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акриловым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клеем медицинской степени очистки, который позволяет фиксирующим повязкам длительно удерживаться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коже, не вызывая раздражения на коже. Проницаемость 1500 г/м²/24ч/37°С. Защитное покрытие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Стерилизована гамма-радиацией. Срок хранения 2 года. Комплектация 50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во внутренней упаковке, 800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 в транспортной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8,0х3,7см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надежную фиксацию дуоденальных зондов, назальных трубок и кислородных катетеров. Материалы: Основа: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 розового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цвета. Клей: акриловый клей медицинской степени очистки.  Изделие представлено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  перфорированной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ленты с легко отсоединяемыми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звеньями.Не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латекса. Размер 8,0 х 3,7 см. Длительность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стояния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дня. Материал повязки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нарушает  естественное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дыхание кожи, предотвращает ее мацерацию.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Endoguide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-T для замены трубок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Полый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из ПВХ для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 диаметром от 6,0 мм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возможностью подачи кислорода и санации, в комплекте с адаптером проводника из силикона, стандартным коннектором 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коннектором, градуировка по всей длине, внутренний размер проводника 3,2 мм, наружный 5,0 мм, длина проводника 525 мм. Не содер</w:t>
            </w:r>
            <w:r>
              <w:rPr>
                <w:rFonts w:ascii="Times New Roman" w:hAnsi="Times New Roman"/>
                <w:sz w:val="24"/>
                <w:szCs w:val="24"/>
              </w:rPr>
              <w:t>жит латекса. Индивидуальная стерильная упаковка.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193473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62" w:type="dxa"/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лента крепления; р.5</w:t>
            </w:r>
          </w:p>
        </w:tc>
        <w:tc>
          <w:tcPr>
            <w:tcW w:w="2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дополнительным кислородным портом (большой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крепления. Назначение: обеспечение проходимости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путей при наркозе и ИВЛ во время операций, а также, при неудавшейся интубации, в экстренных случаях, может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в качестве проводника и т.п., дополнительная подача кислорода. Состав: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складывание надгортанника; широкий воздуховод – ротовой стабилизатор стандартно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гнутый; стандартный коннектор 15 мм; встроенный в воздуховод канал для желудочного зонда,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катор правильной установки; дополнительный кислородный порт, расположенный на проксимальном конце воздуховода, порт снабжен герметизирующим колпачком;  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азмера. Размер 5,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более 90 кг,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8,0мм,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высокой плотности. Не содержит латекса,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стерильно. Срок годности: 2 года от даты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8900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473" w:rsidRDefault="00193473">
            <w:pPr>
              <w:jc w:val="center"/>
            </w:pPr>
          </w:p>
        </w:tc>
        <w:tc>
          <w:tcPr>
            <w:tcW w:w="1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473" w:rsidRDefault="00193473"/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</w:p>
          <w:p w:rsidR="00890097" w:rsidRDefault="00890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</w:p>
          <w:p w:rsidR="00890097" w:rsidRDefault="00890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</w:p>
          <w:p w:rsidR="00890097" w:rsidRDefault="00890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 w:rsidP="008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.12.2018 14:00:00 по местному времени.</w:t>
            </w: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bottom"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890097" w:rsidTr="008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35" w:type="dxa"/>
            <w:gridSpan w:val="15"/>
            <w:vAlign w:val="bottom"/>
            <w:hideMark/>
          </w:tcPr>
          <w:p w:rsidR="00890097" w:rsidRDefault="008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890097" w:rsidRDefault="00890097" w:rsidP="00890097">
      <w:pPr>
        <w:rPr>
          <w:rFonts w:ascii="Times New Roman" w:hAnsi="Times New Roman" w:cs="Times New Roman"/>
        </w:rPr>
      </w:pPr>
    </w:p>
    <w:p w:rsidR="00890097" w:rsidRDefault="00890097" w:rsidP="00890097">
      <w:pPr>
        <w:rPr>
          <w:rFonts w:ascii="Times New Roman" w:hAnsi="Times New Roman" w:cs="Times New Roman"/>
        </w:rPr>
      </w:pPr>
    </w:p>
    <w:p w:rsidR="00000000" w:rsidRDefault="008900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473"/>
    <w:rsid w:val="00193473"/>
    <w:rsid w:val="008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F38F7-60C7-455A-8E06-5E08562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3299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2018-12-04T05:15:00Z</dcterms:created>
  <dcterms:modified xsi:type="dcterms:W3CDTF">2018-12-04T05:16:00Z</dcterms:modified>
</cp:coreProperties>
</file>