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9"/>
        <w:gridCol w:w="2913"/>
        <w:gridCol w:w="4782"/>
        <w:gridCol w:w="827"/>
        <w:gridCol w:w="1151"/>
        <w:gridCol w:w="1311"/>
        <w:gridCol w:w="1757"/>
        <w:gridCol w:w="1591"/>
        <w:gridCol w:w="614"/>
      </w:tblGrid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246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RPr="00B33FE2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Pr="00B33FE2" w:rsidRDefault="00B33F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Pr="00B33FE2" w:rsidRDefault="00537F77">
            <w:pPr>
              <w:jc w:val="center"/>
              <w:rPr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Pr="00B33FE2" w:rsidRDefault="00537F77">
            <w:pPr>
              <w:rPr>
                <w:lang w:val="en-US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537F77" w:rsidRPr="00B33FE2" w:rsidRDefault="00537F77">
            <w:pPr>
              <w:rPr>
                <w:lang w:val="en-US"/>
              </w:rPr>
            </w:pPr>
          </w:p>
        </w:tc>
        <w:tc>
          <w:tcPr>
            <w:tcW w:w="1311" w:type="dxa"/>
            <w:shd w:val="clear" w:color="FFFFFF" w:fill="auto"/>
            <w:vAlign w:val="bottom"/>
          </w:tcPr>
          <w:p w:rsidR="00537F77" w:rsidRPr="00B33FE2" w:rsidRDefault="00537F77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37F77" w:rsidRPr="00B33FE2" w:rsidRDefault="00537F77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537F77" w:rsidRPr="00B33FE2" w:rsidRDefault="00537F77">
            <w:pPr>
              <w:rPr>
                <w:lang w:val="en-US"/>
              </w:rPr>
            </w:pP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 w:rsidP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№.160-2018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3672" w:type="dxa"/>
            <w:gridSpan w:val="2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>Адаптер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Pr="00B33FE2" w:rsidRDefault="00B33FE2">
            <w:pPr>
              <w:rPr>
                <w:lang w:val="en-US"/>
              </w:rPr>
            </w:pPr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Reducers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1/2 in. (9,5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3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 mm)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Цельнолитой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устойчивый к перегибам, армированный корпус  из ПВХ заканчивается прямым наконечником с множественными отверстиями. Маркеры глубины введения. Длина 38,1см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( 1,27см). D Р при потоке 6,0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л\мин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мм, с нитями, стерильный №3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мм, с нитями. Предназначен для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донорс</w:t>
            </w:r>
            <w:r>
              <w:rPr>
                <w:rFonts w:ascii="Times New Roman" w:hAnsi="Times New Roman"/>
                <w:sz w:val="24"/>
                <w:szCs w:val="24"/>
              </w:rPr>
              <w:t>ких органов. Стерильный. В упаковке 3 штуки.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Пакет операционный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мм, с нитями, стерильный №3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OP-Flex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(рукоятка с трубкой)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 трубки длиной 3,5 м с гофрированной поверхностью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источниками ваку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 в операционном зале благодаря универсальному 3-уровневому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Рукоятка из бутадиен стирола имеет в основании ребристый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снабжена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апертурой и заглубленной площадкой для удобной фиксации пальца хирурга. Рукоятка профилированная,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вспомогательных отверстия с </w:t>
            </w:r>
            <w:r>
              <w:rPr>
                <w:rFonts w:ascii="Times New Roman" w:hAnsi="Times New Roman"/>
                <w:sz w:val="24"/>
                <w:szCs w:val="24"/>
              </w:rPr>
              <w:t>гладкими краями для сброса вакуума. Эргономичная рукоятка оптимально сбалансирована для удобного захвата, даже в условиях длительной работы хирурга. Срок хранения -  не менее 5 лет.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артроскопии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Т.У.Р.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-Y-образный соединительный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шланг с 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невентилируемыми шипами на дистальных концах и передвижными зажимами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для взятия проб, закрывающийся колпачком с возможностью установления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продувания воздухом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на проксимальном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-Силиконовая трубка на проксимальном конце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-Общая длина  205 см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 22G/80 мм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Наборы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Катетер: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гладк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особая 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хорошее скольжение при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линия из </w:t>
            </w:r>
            <w:r>
              <w:rPr>
                <w:rFonts w:ascii="Times New Roman" w:hAnsi="Times New Roman"/>
                <w:sz w:val="24"/>
                <w:szCs w:val="24"/>
              </w:rPr>
              <w:t>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позволяет подсоединить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подсоединении линии высокого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не влияет на результаты измерения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</w:t>
            </w:r>
            <w:r>
              <w:rPr>
                <w:rFonts w:ascii="Times New Roman" w:hAnsi="Times New Roman"/>
                <w:sz w:val="24"/>
                <w:szCs w:val="24"/>
              </w:rPr>
              <w:t>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Цельный конический павильон снижает риск пункционной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введение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Проводник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прямой кончик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Диаметр проводника соответствует диаметру катетера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>Индикатор термохимический типа "КОЛДМАРК" (+8°С)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термохимический индикатор повышения температуры, регистрирует общее время воздействия повышенной температуры до 48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часов.Предназначен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экспресс-контроля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соблюдения температурного режима 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цессе транспортировки и хранения вакцин и других фармацевтических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препаратов,препаратов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плазмы, трансплантатов и др.Индикатор поставляется в комплекте с контрольной карточкой индикатора (ККИ).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Картридж CG8+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TCO2, HCO3, BE, sO2, гемоглобина и глюкозы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электродов, калибровочную жидкость, перистальтическую систему и систему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пробы, не более 95 мкл;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</w:t>
            </w:r>
            <w:r>
              <w:rPr>
                <w:rFonts w:ascii="Times New Roman" w:hAnsi="Times New Roman"/>
                <w:sz w:val="24"/>
                <w:szCs w:val="24"/>
              </w:rPr>
              <w:t>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Картридж CG4+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TCO2, HCO3, BE, sO2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TCO2, HCO3, BE, sO2;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пробы, не более 95 мкл;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</w:t>
            </w:r>
            <w:r>
              <w:rPr>
                <w:rFonts w:ascii="Times New Roman" w:hAnsi="Times New Roman"/>
                <w:sz w:val="24"/>
                <w:szCs w:val="24"/>
              </w:rPr>
              <w:t>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пункции артерий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20G/1.10мм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мм 49 мл/мин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 целью исследования газового состава крови и/или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</w:t>
            </w:r>
            <w:r>
              <w:rPr>
                <w:rFonts w:ascii="Times New Roman" w:hAnsi="Times New Roman"/>
                <w:sz w:val="24"/>
                <w:szCs w:val="24"/>
              </w:rPr>
              <w:t>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Специальная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ехнология производства делает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</w:t>
            </w:r>
            <w:r>
              <w:rPr>
                <w:rFonts w:ascii="Times New Roman" w:hAnsi="Times New Roman"/>
                <w:sz w:val="24"/>
                <w:szCs w:val="24"/>
              </w:rPr>
              <w:t>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артериальной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визуализации  обладает </w:t>
            </w:r>
            <w:r>
              <w:rPr>
                <w:rFonts w:ascii="Times New Roman" w:hAnsi="Times New Roman"/>
                <w:sz w:val="24"/>
                <w:szCs w:val="24"/>
              </w:rPr>
              <w:t>эффектом увеличительного 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Эластичные крылья помогают фиксировать канюлю и предупреждают её смещение из артерии, обеспечивая точную волновую характеристику и адекватный мониторинг ар</w:t>
            </w:r>
            <w:r>
              <w:rPr>
                <w:rFonts w:ascii="Times New Roman" w:hAnsi="Times New Roman"/>
                <w:sz w:val="24"/>
                <w:szCs w:val="24"/>
              </w:rPr>
              <w:t>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Размер артериальной канюли – 20 G – является оптимальным для обеспечения хорошей волновой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Трубка силиконовая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 </w:t>
            </w:r>
            <w:r>
              <w:rPr>
                <w:rFonts w:ascii="Times New Roman" w:hAnsi="Times New Roman"/>
                <w:sz w:val="24"/>
                <w:szCs w:val="24"/>
              </w:rPr>
              <w:t>(упаковка по 3 кг)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медицинского силикона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8мм. Наружный диаметр 11мм. В упаковке 3кг.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B33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05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соответствии с заявкой.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0"/>
        </w:trPr>
        <w:tc>
          <w:tcPr>
            <w:tcW w:w="15091" w:type="dxa"/>
            <w:gridSpan w:val="8"/>
            <w:vMerge w:val="restart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0"/>
        </w:trPr>
        <w:tc>
          <w:tcPr>
            <w:tcW w:w="15091" w:type="dxa"/>
            <w:gridSpan w:val="8"/>
            <w:vMerge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37F77" w:rsidRDefault="00B33FE2" w:rsidP="00B33FE2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И.О. Куликова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537F77" w:rsidRDefault="00537F77"/>
        </w:tc>
        <w:tc>
          <w:tcPr>
            <w:tcW w:w="2913" w:type="dxa"/>
            <w:shd w:val="clear" w:color="FFFFFF" w:fill="auto"/>
            <w:vAlign w:val="bottom"/>
          </w:tcPr>
          <w:p w:rsidR="00537F77" w:rsidRDefault="00537F77"/>
        </w:tc>
        <w:tc>
          <w:tcPr>
            <w:tcW w:w="4782" w:type="dxa"/>
            <w:shd w:val="clear" w:color="FFFFFF" w:fill="auto"/>
            <w:vAlign w:val="bottom"/>
          </w:tcPr>
          <w:p w:rsidR="00537F77" w:rsidRDefault="00537F77"/>
        </w:tc>
        <w:tc>
          <w:tcPr>
            <w:tcW w:w="82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15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311" w:type="dxa"/>
            <w:shd w:val="clear" w:color="FFFFFF" w:fill="auto"/>
            <w:vAlign w:val="bottom"/>
          </w:tcPr>
          <w:p w:rsidR="00537F77" w:rsidRDefault="00537F77"/>
        </w:tc>
        <w:tc>
          <w:tcPr>
            <w:tcW w:w="1757" w:type="dxa"/>
            <w:shd w:val="clear" w:color="FFFFFF" w:fill="auto"/>
            <w:vAlign w:val="bottom"/>
          </w:tcPr>
          <w:p w:rsidR="00537F77" w:rsidRDefault="00537F77"/>
        </w:tc>
        <w:tc>
          <w:tcPr>
            <w:tcW w:w="1591" w:type="dxa"/>
            <w:shd w:val="clear" w:color="FFFFFF" w:fill="auto"/>
            <w:vAlign w:val="bottom"/>
          </w:tcPr>
          <w:p w:rsidR="00537F77" w:rsidRDefault="00537F77"/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37F77" w:rsidTr="00B3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37F77" w:rsidRDefault="00B33FE2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B33FE2"/>
    <w:sectPr w:rsidR="00000000" w:rsidSect="00537F7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7F77"/>
    <w:rsid w:val="00537F77"/>
    <w:rsid w:val="00B3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37F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2018-03-19T03:17:00Z</dcterms:created>
  <dcterms:modified xsi:type="dcterms:W3CDTF">2018-03-19T03:18:00Z</dcterms:modified>
</cp:coreProperties>
</file>