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18"/>
        <w:gridCol w:w="3061"/>
        <w:gridCol w:w="567"/>
        <w:gridCol w:w="708"/>
        <w:gridCol w:w="851"/>
        <w:gridCol w:w="1701"/>
        <w:gridCol w:w="1417"/>
      </w:tblGrid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3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3C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3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3C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3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3C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szCs w:val="16"/>
                <w:lang w:val="en-US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C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Pr="00503CC6" w:rsidRDefault="00A61A2A">
            <w:pPr>
              <w:rPr>
                <w:szCs w:val="16"/>
                <w:lang w:val="en-US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 w:rsidP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№.71-19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56" w:type="dxa"/>
            <w:gridSpan w:val="7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61A2A" w:rsidRDefault="00503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A2A" w:rsidRDefault="00503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A2A" w:rsidRDefault="00503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A2A" w:rsidRDefault="00503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A2A" w:rsidRDefault="00503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A2A" w:rsidRDefault="00503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A2A" w:rsidRDefault="00503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A2A" w:rsidRDefault="00503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A2A" w:rsidRDefault="00503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Маска медицинская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Маска </w:t>
            </w:r>
            <w:proofErr w:type="gramStart"/>
            <w:r w:rsidRPr="00503CC6">
              <w:rPr>
                <w:rFonts w:ascii="Times New Roman" w:hAnsi="Times New Roman"/>
                <w:sz w:val="18"/>
                <w:szCs w:val="18"/>
              </w:rPr>
              <w:t>хирургическая  из</w:t>
            </w:r>
            <w:proofErr w:type="gram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гипоаллергенного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особенно легкого нетканого материала с 2-резинками,  3-х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слойная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способностью.Длинный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интегрированный фиксатор на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переносице. Все слои обработаны ультразвуковой сваркой BFE – 98.</w:t>
            </w:r>
            <w:r w:rsidRPr="00503CC6">
              <w:rPr>
                <w:rFonts w:ascii="Times New Roman" w:hAnsi="Times New Roman"/>
                <w:sz w:val="18"/>
                <w:szCs w:val="18"/>
              </w:rPr>
              <w:br/>
              <w:t>Нестерильно упаковано.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Простыня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Простыня в рулоне одноразовая с перфорацией 140х200 см, длина рулона 200 м, ширина 70 см, пл.20 г/м², перфорация через 200 см. Нестерильно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упаковано.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Простыня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Простыня хирургическая 210х140 см.  Изготовлена из 4-х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слойного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нетканого влагоотталкивающего паропроницаемого материала </w:t>
            </w:r>
            <w:proofErr w:type="gramStart"/>
            <w:r w:rsidRPr="00503CC6">
              <w:rPr>
                <w:rFonts w:ascii="Times New Roman" w:hAnsi="Times New Roman"/>
                <w:sz w:val="18"/>
                <w:szCs w:val="18"/>
              </w:rPr>
              <w:t>плотностью  60</w:t>
            </w:r>
            <w:proofErr w:type="gram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г/м², (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спанбонд-мельтблаун-мельтблаун-спанбонд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) или эквивалент. Стерильно,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индивидуальная упаковка.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2 500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Фартук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Фартук ламинированный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дноразовый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нестерильный (уп.10 шт.) Должен быть изготовлен из 2-х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слойного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влагонепроницаемого материала плотностью не менее 45 г/м², первый слой – влагоотталкивающий материал технологии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спанбонд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, плотностью не менее 20 г/м², второй слой – полиэтиленовая плёнка, препятствующая проникновению жидких сред и бактерий.  Фартук должен иметь длину не менее 110 см, ширину не менее 80см, широкое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цельнокройное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отверстие горловины, лямки шириной не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менее 5 см и завязки в области талии.  Наружная упаковка должна обладать высокими барьерными свойствами, иметь толщину не менее 50 мкм. В упаковке 10 штук. Данное наименование товара,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lastRenderedPageBreak/>
              <w:t>должно быть подтверждено наличием действующего регистрационного удостове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рения.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2 500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Фартук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>.</w:t>
            </w:r>
            <w:r w:rsidRPr="00503CC6">
              <w:rPr>
                <w:rFonts w:ascii="Times New Roman" w:hAnsi="Times New Roman"/>
                <w:sz w:val="18"/>
                <w:szCs w:val="18"/>
              </w:rPr>
              <w:br/>
              <w:t>Нестерильно упаковано</w:t>
            </w:r>
            <w:r w:rsidRPr="00503CC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2 500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Халат полипропиленовый одноразовый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Халат полипропиленовый одноразовый из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нетканного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материала,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размер XL, 100% 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1 000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Халат полипропиленовый одноразовый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Халат полипропиленовый одноразовый из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нетканного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материала, размер XXL, 100%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полипропилен SPP, плотность 40 г/м2. Длинный рукав, под шеей отделан воротником застегивается на кнопки.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1 000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Халат хирургический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Халат хирургический. Размер 50-52. Водоотталкивающий, с окантовкой горловины и регулируемой застежкой ворота на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 xml:space="preserve">«липучке». Изготовлен из 4-х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слойного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нетканого влагоотталкивающего паропроницаемого материала </w:t>
            </w:r>
            <w:proofErr w:type="gramStart"/>
            <w:r w:rsidRPr="00503CC6">
              <w:rPr>
                <w:rFonts w:ascii="Times New Roman" w:hAnsi="Times New Roman"/>
                <w:sz w:val="18"/>
                <w:szCs w:val="18"/>
              </w:rPr>
              <w:t>плотностью  42</w:t>
            </w:r>
            <w:proofErr w:type="gram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г/м², (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спанбонд-мельтблаун-мельтблаун-спанбонд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>) или эквивалент. Общая длина 140 см. Имеет мягкие трикотажные манжеты шириной не менее 8 см и отшив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 w:rsidRPr="00503CC6">
              <w:rPr>
                <w:rFonts w:ascii="Times New Roman" w:hAnsi="Times New Roman"/>
                <w:sz w:val="18"/>
                <w:szCs w:val="18"/>
              </w:rPr>
              <w:t>надевания  без</w:t>
            </w:r>
            <w:proofErr w:type="gram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льтразвуковой сварки. Стерильно, индивидуальная упаковка.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2 000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Халат хирургический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Халат хирургический. Размер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слойного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нетканого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влагоотталкивающего паропроницаемого материала </w:t>
            </w:r>
            <w:proofErr w:type="gramStart"/>
            <w:r w:rsidRPr="00503CC6">
              <w:rPr>
                <w:rFonts w:ascii="Times New Roman" w:hAnsi="Times New Roman"/>
                <w:sz w:val="18"/>
                <w:szCs w:val="18"/>
              </w:rPr>
              <w:t>плотностью  42</w:t>
            </w:r>
            <w:proofErr w:type="gram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г/м², (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спанбонд-мельтблаун-мельтблаун-спанбонд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>) или эквивалент. Общая длина 140 см. Имеет мягкие трикотажные манжеты шириной не менее 8 см и отшивку горловины из бейки белого цвета шириной не ме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нее7 мм. Халат сложен специальным образом для удобства асептического </w:t>
            </w:r>
            <w:proofErr w:type="gramStart"/>
            <w:r w:rsidRPr="00503CC6">
              <w:rPr>
                <w:rFonts w:ascii="Times New Roman" w:hAnsi="Times New Roman"/>
                <w:sz w:val="18"/>
                <w:szCs w:val="18"/>
              </w:rPr>
              <w:t>надевания  без</w:t>
            </w:r>
            <w:proofErr w:type="gram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2 000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Шапочка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Шапочка-берет хирургическая на резинке изготовлена из 4-х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слойного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нетканого влагоотталкивающего паропроницаемого материала </w:t>
            </w:r>
            <w:proofErr w:type="gramStart"/>
            <w:r w:rsidRPr="00503CC6">
              <w:rPr>
                <w:rFonts w:ascii="Times New Roman" w:hAnsi="Times New Roman"/>
                <w:sz w:val="18"/>
                <w:szCs w:val="18"/>
              </w:rPr>
              <w:t>плотностью  25</w:t>
            </w:r>
            <w:proofErr w:type="gram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г/м², (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спанбонд-мельтблаун-мельтблаун-спанбонд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) или эквивалент. Нестерильно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упаковано.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Фартук одноразовый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Фартук одноразовый защитный, 120*76 см, 100шт./упаковка. Одноразовые фартуки призваны защитить одежду от воды, грязи,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химических средств, пыли, биологических материалов, жира и других загрязнений. Такие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изделия позволяют надолго сохранять чистоту и поддерживать безопасный уровень рабочей среды.  В отличие от фартуков из текстиля, которые необходимо регулярно стирать и гладить, дешевые одноразовые фартуки позволяют значительно сэкономить силы и время персо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нала, а также денежные средства. Одноразовые фартуки используются в: - парикмахерских; - автосервисе; - пищевой промышленности и ресторанном бизнесе; - сфере торговли (в частности – связанной с продуктами питания); - медицине и фармакологической отрасли и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др. Представленные на pack24.ru фартуки изготовлены из полиэтилена и предложены в различных размерах. Продукция поставляется в упаковках по 100 фартуков в каждой.</w:t>
            </w:r>
            <w:r w:rsidRPr="00503CC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5 000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RPr="00503CC6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Нарукавник полиэтиленовый</w:t>
            </w:r>
          </w:p>
        </w:tc>
        <w:tc>
          <w:tcPr>
            <w:tcW w:w="30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 xml:space="preserve">Нарукавник одноразовый полиэтиленовый, 40 мкм, 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25x40 см, 50 пар/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, Назначение: Для защиты одежды в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химлабораториях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/пара Материал: полиэтилен Количество в </w:t>
            </w:r>
            <w:proofErr w:type="spellStart"/>
            <w:proofErr w:type="gramStart"/>
            <w:r w:rsidRPr="00503CC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503CC6"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 w:rsidRPr="00503CC6">
              <w:rPr>
                <w:rFonts w:ascii="Times New Roman" w:hAnsi="Times New Roman"/>
                <w:sz w:val="18"/>
                <w:szCs w:val="18"/>
              </w:rPr>
              <w:t xml:space="preserve"> 50 пар</w:t>
            </w:r>
            <w:r w:rsidRPr="00503CC6">
              <w:rPr>
                <w:rFonts w:ascii="Times New Roman" w:hAnsi="Times New Roman"/>
                <w:sz w:val="18"/>
                <w:szCs w:val="18"/>
              </w:rPr>
              <w:br/>
              <w:t>Плотность/То</w:t>
            </w:r>
            <w:r w:rsidRPr="00503CC6">
              <w:rPr>
                <w:rFonts w:ascii="Times New Roman" w:hAnsi="Times New Roman"/>
                <w:sz w:val="18"/>
                <w:szCs w:val="18"/>
              </w:rPr>
              <w:t>лщина: 40 мкм</w:t>
            </w:r>
            <w:r w:rsidRPr="00503CC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3CC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503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CC6">
              <w:rPr>
                <w:rFonts w:ascii="Times New Roman" w:hAnsi="Times New Roman"/>
                <w:sz w:val="18"/>
                <w:szCs w:val="18"/>
              </w:rPr>
              <w:t>1 000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A2A" w:rsidRPr="00503CC6" w:rsidRDefault="00A61A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A2A" w:rsidRPr="00503CC6" w:rsidRDefault="00A61A2A">
            <w:pPr>
              <w:rPr>
                <w:sz w:val="18"/>
                <w:szCs w:val="18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61A2A" w:rsidRDefault="00503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2019 года.</w:t>
            </w: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61A2A" w:rsidRDefault="00503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61A2A" w:rsidRDefault="00503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61A2A" w:rsidRDefault="00503CC6" w:rsidP="00503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0:00:00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местному времени.</w:t>
            </w: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61A2A" w:rsidRDefault="00503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91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306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61A2A" w:rsidRDefault="00A61A2A">
            <w:pPr>
              <w:rPr>
                <w:szCs w:val="16"/>
              </w:rPr>
            </w:pP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61A2A" w:rsidRDefault="00503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1A2A" w:rsidTr="0050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61A2A" w:rsidRDefault="00503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000000" w:rsidRDefault="00503C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A2A"/>
    <w:rsid w:val="00503CC6"/>
    <w:rsid w:val="00A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863C9-1E95-42A6-8C48-B1656083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2019-01-29T09:35:00Z</dcterms:created>
  <dcterms:modified xsi:type="dcterms:W3CDTF">2019-01-29T09:37:00Z</dcterms:modified>
</cp:coreProperties>
</file>