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81"/>
        <w:gridCol w:w="2911"/>
        <w:gridCol w:w="4781"/>
        <w:gridCol w:w="782"/>
        <w:gridCol w:w="1158"/>
        <w:gridCol w:w="1317"/>
        <w:gridCol w:w="1759"/>
        <w:gridCol w:w="1594"/>
        <w:gridCol w:w="622"/>
      </w:tblGrid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 w:rsidRPr="009C7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C22482" w:rsidRPr="009C7177" w:rsidRDefault="009C717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C71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C71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C71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C71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C71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C71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C22482" w:rsidRPr="009C7177" w:rsidRDefault="00C22482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22482" w:rsidRPr="009C7177" w:rsidRDefault="00C22482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C22482" w:rsidRPr="009C7177" w:rsidRDefault="00C22482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C22482" w:rsidRPr="009C7177" w:rsidRDefault="00C22482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C22482" w:rsidRPr="009C7177" w:rsidRDefault="00C22482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C22482" w:rsidRPr="009C7177" w:rsidRDefault="00C22482">
            <w:pPr>
              <w:rPr>
                <w:lang w:val="en-US"/>
              </w:rPr>
            </w:pPr>
          </w:p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C22482" w:rsidRDefault="009C7177" w:rsidP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10.04.2018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№.227-18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3399" w:type="dxa"/>
            <w:shd w:val="clear" w:color="FFFFFF" w:fill="auto"/>
            <w:vAlign w:val="bottom"/>
          </w:tcPr>
          <w:p w:rsidR="00C22482" w:rsidRDefault="00C22482"/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/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3399" w:type="dxa"/>
            <w:shd w:val="clear" w:color="FFFFFF" w:fill="auto"/>
            <w:vAlign w:val="bottom"/>
          </w:tcPr>
          <w:p w:rsidR="00C22482" w:rsidRDefault="00C22482"/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/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C22482" w:rsidRDefault="009C7177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 xml:space="preserve">Протез сердечного клапана механический аортальный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Carbomedics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Reduced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>Тип клапана механический, модификация манжеты – редуцированная, пробкообразная манжета с уменьшенным профилем, позволяет использовать клапан при узком ригидном аортальном синусе и низко расположенных устьях коронарных артерий; количеств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створок 2; створки и внутреннее кольцо выполнены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углерода; профиль внутреннего кольца – флюидальный; угол раскрытия створок 78˚, внутренняя конструкция  - титановое кольцо жесткости, фиксирующее кольцо; материал фиксирующего кольца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</w:t>
            </w:r>
            <w:r>
              <w:rPr>
                <w:rFonts w:ascii="Times New Roman" w:hAnsi="Times New Roman"/>
                <w:sz w:val="24"/>
                <w:szCs w:val="24"/>
              </w:rPr>
              <w:t>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конструкция шарнирного механизма – сопряженная полусфера; контакт створок «плоскость на плоскость»; расположение оси вращения створок в направлении противоположном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току крови;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высокая; осевой механизм полностью омываемый; возможн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поставляется стерильным.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 xml:space="preserve">Клапан сердца механический аортальный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Carbomedics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 xml:space="preserve">Тип клапана – механический; количество створок – двустворчатый; материал створок и внутреннего кольца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углерод; угол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раскрытия створок - 78˚; форма манжеты усеченная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цилиндро-образная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количество ориентационных меток  – 3; внутренняя конструкция  – кольца жесткости – 2 штуки, фиксирующее кольцо, отсутствие каких-либо проекционных структур в пределах отверстия для тока 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ови; материал колец жесткости  – титан; материал фиксирующего кольца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тип контакта створок - «плоскость на плоскость»; профиль внутреннего кольца – флюидальный; расположение оси вращения створок в направлении противоположном току крови; конструкц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шарнирного механизма сопряженная полусфера;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высокая; осевой механизм - полностью омываемый; возможность 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поставляется стерильным вместе с ротатором створок клапана, который представляет собой стержень с утонченны</w:t>
            </w:r>
            <w:r>
              <w:rPr>
                <w:rFonts w:ascii="Times New Roman" w:hAnsi="Times New Roman"/>
                <w:sz w:val="24"/>
                <w:szCs w:val="24"/>
              </w:rPr>
              <w:t>м гибким наконечником; на рукоятке есть 4 продольных углубления длиной 73мм; длина наконечника – 20мм; длина рукоятки – 95мм; материал ротатора – каучук, темно-синего цвета.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 xml:space="preserve">Клапан сердца механический митральный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Carbomedics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standart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>Тип клапана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механический; количество створок – двустворчатый; материал створок и внутреннего кольца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углерод; угол раскрытия створок - 78˚; форма манжеты усеченная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цилиндро-образная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ориентационных меток  – 4; внутренняя конструкция  –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льца жесткости – 2 штуки, фиксирующее кольцо, отсутствие каких-либо проекционных структур в пределах отверстия для тока крови; материал колец жесткости  – титан; материал фиксирующего кольца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тип контакта створок - «плоскость на плоскость»; распо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ложение оси вращения створок в направлении противоположном току крови; конструкция шарнирного механизма сопряженная полусфера; профиль внутреннего кольца – флюидальный;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высокая; осевой механизм - полностью омываемый; возможность вра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поставляется стерильным вместе с ротатором створок клапана, который представляет собой стержень с утонченным гибким наконечником; на рукоятке есть 4 продольных углубления длиной 73мм; длина наконечника – 20мм; длина рукоятки – 95мм;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ротатора – каучук, темно-синего цвета.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 xml:space="preserve">Клапан сердца механический митральный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Carbomedics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Optiform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 xml:space="preserve">Тип клапана – механический; модификация и материал манжеты – универсальная, гибкая манжета из полиэстера, позволяющая имплантировать клапан как </w:t>
            </w:r>
            <w:r>
              <w:rPr>
                <w:rFonts w:ascii="Times New Roman" w:hAnsi="Times New Roman"/>
                <w:sz w:val="24"/>
                <w:szCs w:val="24"/>
              </w:rPr>
              <w:t>в аортальную, так и в митральную позицию (особенность манжеты в митральной позиции - 4 имплантационные метки, ободок на периферии манжеты со стороны притока крови); профиль манжеты – продольно симметричный; количество створок – две; материал створок и внут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реннего кольца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пиролитический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углерод; угол раскрытия створок  – 78˚; тип контакта створок  – «плоскость на плоскость»; профиль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внутреннего кольца – флюидальный; расположение оси вращения створок – в направлении противоположном току крови; конструкция 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рнирного механизма – сопряженная полусфера; внутренняя конструкция  – кольца жесткости – 2 штуки, фиксирующее кольцо, отсутствие каких-либо проекционных структур в пределах отверстия для тока крови; материал колец жесткости  – титан; материал фиксирующего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кольца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высокая; осевой механизм –полностью омываемый; возможность 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поставляется стерильным.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 xml:space="preserve">Протез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аортоклапанный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Carboseal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21 - 25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протеза - протез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клапана сердца двухстворчатый с линейным протезом восходящей дуги аорты; тип клапана сердца – механический; материал подшиваемой манжеты – полиэстер; форма манжеты - усеченная;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цилиндро-образная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количество створок – две; материал створок; створки и внутре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ннее кольцо выполнены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пиролитического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углерода; профиль внутреннего кольца – флюидальный; угол раскрытия створок 78˚; тип контакта створок «плоскость на плоскость»; расположение оси вращения створок в направлении противоположном току крови; конструкция </w:t>
            </w:r>
            <w:r>
              <w:rPr>
                <w:rFonts w:ascii="Times New Roman" w:hAnsi="Times New Roman"/>
                <w:sz w:val="24"/>
                <w:szCs w:val="24"/>
              </w:rPr>
              <w:t>шарнирного механизма сопряженная полусфера; внутренняя конструкция: кольца жесткости – 2, фиксирующее кольцо – 1, отсутствие каких-либо проекционных структур в пределах отверстия для тока крови; материал колец жесткости – титан; материал фиксирующего кольц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нитинол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высокая; осевой механизм полностью омываемый; возможность вращения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материал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протеза сосуда  вязаный полиэстер (дакрон); пропитка протеза сосуда  - модифицированный желатин;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нулевая; биол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полная; прочность на разрыв не менее 400 Н; водопроницаемость менее 5мл/кв.см при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способность к удержанию шва не менее 30 Н; устойчивость к дилатации; способность связывать антибиотики;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разволокняется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требует специального шовного материала; стерильный термокаутер и тестер створок в виде каучукового стержня с утонченным гибким наконечником на рукоятке с 4 продольными углублениями поставляется с каждым кондуитом.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 xml:space="preserve">Протез сосуда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Gelweave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Trifurcate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Graft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perfusion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10-12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х10 мм, длина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100, общая длина 200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 xml:space="preserve">Гофрированный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трифуркационный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сосудистый протез с дополнительным портом для перфузии из дакрона (полиэстера) для хирургии сосудов. Тканая структура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ротеза, материал протеза - дакрон (полиэстер), биологически инертен, отсутствие реакции организма на имплантацию, нулевая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порозность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требует предварительного пропитывания имплантата кровью,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отстутствует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кровотечение из мест проколов проте</w:t>
            </w:r>
            <w:r>
              <w:rPr>
                <w:rFonts w:ascii="Times New Roman" w:hAnsi="Times New Roman"/>
                <w:sz w:val="24"/>
                <w:szCs w:val="24"/>
              </w:rPr>
              <w:t>за, срок стерильности с даты изготовления не менее 5 лет, остаточный срок стерильности на момент поставки не менее 80%, визуальный индикатор на скручивание и растяжение, конфигурация в виде линейного основного ствола с последовательно отходящими от него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оксимальной и дистальной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портом для перфузии, внутренний диаметр основного ствола протеза 10 или 12мм, внутренний диаметр проксимальной латеральной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10мм, внутренний диаметр дистальной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латеральной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8мм, длина проксимальной и дистальн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100мм, угол отхождения проксимальной и дистальной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градусов от основного ствола, внутренний диаметр порта для перфузии 8мм, угол отхождения порта для перфузии 90 градусов от основного ствола и 30 градусов от браншей, общая 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протеза не менее 20см, общая длина браншей не менее 10см, толщина стенки протеза не более 0,6мм, прочность на разрыв не менее 300Newtons, импрегнация модифицированным желатином, водопроницаемость менее 5мл/см2 при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разволокняются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местах срез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способность к удержанию шва не менее 30Newtons, не требуется специального шовного материала, устойчивость к дилатации, использование технологии "плавающих нитей" при изготовлении протеза, способность связывать антибиотики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способнос</w:t>
            </w:r>
            <w:r>
              <w:rPr>
                <w:rFonts w:ascii="Times New Roman" w:hAnsi="Times New Roman"/>
                <w:sz w:val="24"/>
                <w:szCs w:val="24"/>
              </w:rPr>
              <w:t>ть связывать гепарин.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Стент-графт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Jotec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торакальный гибридный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Эндолюминальный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гибридный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открытой хирургии аорты,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предзагруженный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систему доставки. Комплектация: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предзагруженный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заводских условиях на систему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доставки, вспомогательная планка для установки компонента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инструкция по эксплуатации, этикетки на липкой основе с производственной информацией 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размещения в медицинской документации. Предназначен для оптимизированного одноэтапно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хирургического лечения дуги и нисходящего торакального отделов аорты посредством комбинирования классической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интервенционной хирургической техник. Позволяет ограничить лечение указанных патологий одной хирургической процедурой. Показания для применени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включают острую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аорты типа 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осложненную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аорты типа B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Stanford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обширную аневризму аорты, хроническую обширную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диссекцию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аорты. Строение гибридного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позволяет объединять классическую сосудистую реко</w:t>
            </w:r>
            <w:r>
              <w:rPr>
                <w:rFonts w:ascii="Times New Roman" w:hAnsi="Times New Roman"/>
                <w:sz w:val="24"/>
                <w:szCs w:val="24"/>
              </w:rPr>
              <w:t>нструкцию с современной техникой стентирования нисходящего отдела грудной аорты, реконструкция которого анатомически осложнена ограниченным хирургическим доступом. Представляет собой единый сосудистый протез на основе нитинола и тканого полиэстера, изготов</w:t>
            </w:r>
            <w:r>
              <w:rPr>
                <w:rFonts w:ascii="Times New Roman" w:hAnsi="Times New Roman"/>
                <w:sz w:val="24"/>
                <w:szCs w:val="24"/>
              </w:rPr>
              <w:t>ленного по специфической технологии, обеспечивающей нулевую хирургическую пористость. Дополнительное покрытие или пропитывание материала не требуется и отсутствует. Проксимальная часть сосудистого протеза является свободной манжетой из гофрированного ткано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полиэстера, длина манжеты 50 - 70±1.0 мм, диаметр манжеты 24 - 40±1.0 мм. Полное раскрытие гофрированной части обеспечивает длину манжеты 100 - 140±1.0  мм. Манжета обеспечивает надежную фиксацию и служит соединительным элементом (сосудистым адаптером)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классической сосудистой реконструкции дуги аорты. Дистальная часть протеза представлена самораскрывающимся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основе каркаса из нитинола единого диаметра по всей длине, помещенного внутрь не гофрированной оболочки из полиэстера. Полиэстер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манжетной части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является единым тканым элементом. Швы или соединительные «ступеньки» отсутствуют.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130 - 160±1.0 мм. Материал каркаса обеспечивает раскрытие дистального отдела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при имплантации до заданного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диаметра. Проксимальный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24 - 40±0.6 мм, дистальный диаметр – 24 - 40±0.6 мм. Нитиноловый каркас создают не менее 7 замкнутых колец зигзагообразной формы несвязанных между собой. Профиль кольца каркаса 5-секционный. Секция треугольной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ормы, сторона не более 20±1.0 мм, основание секции 19±1.0 мм. Фиксация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оболочке – нитью. В проксимальное и дистальное окончание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интегрированы не менее 1 танталового маркера для послеоперационного контроля положения протеза рентге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контрастным методом и проведения последующих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эндолюминальных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этапов лечения (при необходимости).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Эндолюминальный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гибридный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предзагружен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систему доставки в рукав из полиэстера, диаметр не более 12,5мм. Манжета заправлена внутрь каркасной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протеза. Для извлечения манжеты после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предусмотрена нить, закрепленная на диаметрально противоположных сторонах манжеты в ее дистальной части. Длина рабочей части системы доставки не более 580±1мм, диаметр не более 8мм. Диаметр 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чика не более 12,5мм, закреплен на центральном проводнике с внутренним диаметром не более 0.87мм. Центральный проводник оканчивается портом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основании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проксимальной рукояти системы доставки. Крепление внутреннего штифта винтовое на промывочном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орте. Механизм высвобождения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рычажно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поступательный, длина 600±1мм. Включает 2 рукояти эргономичной формы. Проксимальная рукоять неподвижно закреплена на штифте движения дистальной рукояти. Длина хода подвижной рукояти 270±1мм. В подвижную рукоять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интегрирован рычаг поступательного движения и высвобождения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полиэстерного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рукава, а также механизм активации и управления движением рычага. Шаг высвобождения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полном нажатии рычага - 4±0.5мм. Механизм активации и управления движе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рычага скользящий трехпозиционный, маркировка положения указателя интуитивно понятная. Система доставки поступает в первом положении – инактивированном, при котором движение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невозможно: рычаг высвобождения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утоплен в рукоять, быстросъ</w:t>
            </w:r>
            <w:r>
              <w:rPr>
                <w:rFonts w:ascii="Times New Roman" w:hAnsi="Times New Roman"/>
                <w:sz w:val="24"/>
                <w:szCs w:val="24"/>
              </w:rPr>
              <w:t>емный полиэтиленовый рукав поверх рукояти служит препятствует случайной активации системы доставки при подготовки изделия перед процедурой имплантации. Смещение указателя механизма активации в рабочее положение освобождает рычаг для фиксированного выдвижен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рукава системы доставки с шагом 4±0.5мм. Последнее положение механизма активации обеспечивает быстрое извлечение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контроля правильной установки в нисходящем отделе грудной аорты. Вспомогательная четырех секционная планка кругло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сечения поставляется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предзагруженной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систему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доставки. Служит как вспомогательное устройство при продвижении и позиционировании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стенграфта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визуальным контролем. Легко удаляется с системы доставки при необходимости.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стерильный. Стерилизаци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методом гамма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радиациии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Срок стерильности не менее 2 лет с даты производства. Двойная стерильная внутренняя упаковка. Наружная упаковка – картонный двух секционный короб, с механизмом быстрого вскрытия в срединной части для свободного манипулирования в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ограниченном пространстве операционной.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по дополнительному согласованию.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биполярной 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биполярной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Тип электрода – орошаемый, гибкий. Конструкция электрода – сплошная. 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электрода  – пористый полимер, возможность орошения на всём его протяжении. Определение импеданса ткани (определение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трансмуральности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Измерение сопротивления  ткани – 5 000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секунду. Автоматический подбор мощности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зависмости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сопротивления ткане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Тип зажима - с фиксацией. Давление зажима на ткани в закрытом положении –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Гибкие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возможности  изменения формы браншей в зависимости от необходимости кривизны. Активные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длина 7 см. Возможность ротации браншей электрода – 300 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адусов.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ткани на всём протяжении электрода – отсутствие «мертвых» пространств. Встроенная трубка для орошения, заканчивающаяся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луер-портом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длина 305 см. 16. Трубка для орошения – 305 см. Соединительный кабель – 305 см. Полная совместимость с гене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ратором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Cardioblate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BP.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r>
              <w:rPr>
                <w:rFonts w:ascii="Times New Roman" w:hAnsi="Times New Roman"/>
                <w:sz w:val="24"/>
                <w:szCs w:val="24"/>
              </w:rPr>
              <w:t xml:space="preserve">Электрод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Тип электрода – орошаемый, гибкий. Силиконовая защита тела. Длина гибкого тела электрода – 20 см.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Соединительный кабель – длина 305 см. Материал ручки – акрил с силиконовой вставкой. Округлый дистальный  наконечник для подачи раствора. Наличие микроотверстий в наконечнике – 9. Встроенная трубка для орошения, заканчивающаяся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портом. Длина трубки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орошения – 305 см. Полная совместимость с генератором для хирургической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Cardioblate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BP.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9C717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C22482" w:rsidRDefault="009C7177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C22482" w:rsidRDefault="009C7177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r>
              <w:rPr>
                <w:rFonts w:ascii="Times New Roman" w:hAnsi="Times New Roman"/>
                <w:sz w:val="28"/>
                <w:szCs w:val="28"/>
              </w:rPr>
              <w:t>доставки, разгрузки до КГБУЗ «Краевая клиническая больница» 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C22482" w:rsidRDefault="009C7177"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государственных закупок, тел. 220-16-04.</w:t>
            </w:r>
          </w:p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C22482" w:rsidRDefault="009C7177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течение 5 календарных дней.</w:t>
            </w:r>
          </w:p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3399" w:type="dxa"/>
            <w:shd w:val="clear" w:color="FFFFFF" w:fill="auto"/>
            <w:vAlign w:val="bottom"/>
          </w:tcPr>
          <w:p w:rsidR="00C22482" w:rsidRDefault="00C22482"/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/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3399" w:type="dxa"/>
            <w:shd w:val="clear" w:color="FFFFFF" w:fill="auto"/>
            <w:vAlign w:val="bottom"/>
          </w:tcPr>
          <w:p w:rsidR="00C22482" w:rsidRDefault="00C22482"/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/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3399" w:type="dxa"/>
            <w:shd w:val="clear" w:color="FFFFFF" w:fill="auto"/>
            <w:vAlign w:val="bottom"/>
          </w:tcPr>
          <w:p w:rsidR="00C22482" w:rsidRDefault="00C22482"/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/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C22482" w:rsidRDefault="009C7177" w:rsidP="009C7177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И.О. Куликова</w:t>
            </w:r>
          </w:p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3399" w:type="dxa"/>
            <w:shd w:val="clear" w:color="FFFFFF" w:fill="auto"/>
            <w:vAlign w:val="bottom"/>
          </w:tcPr>
          <w:p w:rsidR="00C22482" w:rsidRDefault="00C22482"/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/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3399" w:type="dxa"/>
            <w:shd w:val="clear" w:color="FFFFFF" w:fill="auto"/>
            <w:vAlign w:val="bottom"/>
          </w:tcPr>
          <w:p w:rsidR="00C22482" w:rsidRDefault="00C22482"/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/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3399" w:type="dxa"/>
            <w:shd w:val="clear" w:color="FFFFFF" w:fill="auto"/>
            <w:vAlign w:val="bottom"/>
          </w:tcPr>
          <w:p w:rsidR="00C22482" w:rsidRDefault="00C22482"/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/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3399" w:type="dxa"/>
            <w:shd w:val="clear" w:color="FFFFFF" w:fill="auto"/>
            <w:vAlign w:val="bottom"/>
          </w:tcPr>
          <w:p w:rsidR="00C22482" w:rsidRDefault="00C22482"/>
        </w:tc>
        <w:tc>
          <w:tcPr>
            <w:tcW w:w="6024" w:type="dxa"/>
            <w:shd w:val="clear" w:color="FFFFFF" w:fill="auto"/>
            <w:vAlign w:val="bottom"/>
          </w:tcPr>
          <w:p w:rsidR="00C22482" w:rsidRDefault="00C22482"/>
        </w:tc>
        <w:tc>
          <w:tcPr>
            <w:tcW w:w="945" w:type="dxa"/>
            <w:shd w:val="clear" w:color="FFFFFF" w:fill="auto"/>
            <w:vAlign w:val="bottom"/>
          </w:tcPr>
          <w:p w:rsidR="00C22482" w:rsidRDefault="00C22482"/>
        </w:tc>
        <w:tc>
          <w:tcPr>
            <w:tcW w:w="1431" w:type="dxa"/>
            <w:shd w:val="clear" w:color="FFFFFF" w:fill="auto"/>
            <w:vAlign w:val="bottom"/>
          </w:tcPr>
          <w:p w:rsidR="00C22482" w:rsidRDefault="00C22482"/>
        </w:tc>
        <w:tc>
          <w:tcPr>
            <w:tcW w:w="1562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98" w:type="dxa"/>
            <w:shd w:val="clear" w:color="FFFFFF" w:fill="auto"/>
            <w:vAlign w:val="bottom"/>
          </w:tcPr>
          <w:p w:rsidR="00C22482" w:rsidRDefault="00C22482"/>
        </w:tc>
        <w:tc>
          <w:tcPr>
            <w:tcW w:w="1706" w:type="dxa"/>
            <w:shd w:val="clear" w:color="FFFFFF" w:fill="auto"/>
            <w:vAlign w:val="bottom"/>
          </w:tcPr>
          <w:p w:rsidR="00C22482" w:rsidRDefault="00C22482"/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C22482" w:rsidRDefault="009C7177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C2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C22482" w:rsidRDefault="009C7177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9C7177"/>
    <w:sectPr w:rsidR="00000000" w:rsidSect="00C2248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C22482"/>
    <w:rsid w:val="009C7177"/>
    <w:rsid w:val="00C2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2248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2439</Words>
  <Characters>13907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2018-04-12T02:11:00Z</dcterms:created>
  <dcterms:modified xsi:type="dcterms:W3CDTF">2018-04-12T02:15:00Z</dcterms:modified>
</cp:coreProperties>
</file>