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709" w:type="dxa"/>
        <w:tblLook w:val="04A0" w:firstRow="1" w:lastRow="0" w:firstColumn="1" w:lastColumn="0" w:noHBand="0" w:noVBand="1"/>
      </w:tblPr>
      <w:tblGrid>
        <w:gridCol w:w="356"/>
        <w:gridCol w:w="2855"/>
        <w:gridCol w:w="4706"/>
        <w:gridCol w:w="758"/>
        <w:gridCol w:w="1139"/>
        <w:gridCol w:w="1276"/>
        <w:gridCol w:w="1752"/>
        <w:gridCol w:w="1578"/>
        <w:gridCol w:w="576"/>
      </w:tblGrid>
      <w:tr w:rsidR="00782B5A" w:rsidTr="00A8219A">
        <w:trPr>
          <w:gridAfter w:val="1"/>
          <w:wAfter w:w="576" w:type="dxa"/>
          <w:trHeight w:val="615"/>
        </w:trPr>
        <w:tc>
          <w:tcPr>
            <w:tcW w:w="7917" w:type="dxa"/>
            <w:gridSpan w:val="3"/>
            <w:vMerge w:val="restart"/>
            <w:shd w:val="clear" w:color="FFFFFF" w:fill="auto"/>
            <w:vAlign w:val="bottom"/>
          </w:tcPr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  <w:p w:rsidR="00782B5A" w:rsidRP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B5A">
              <w:rPr>
                <w:rFonts w:ascii="Times New Roman" w:hAnsi="Times New Roman"/>
                <w:sz w:val="24"/>
                <w:szCs w:val="24"/>
              </w:rPr>
              <w:t>-</w:t>
            </w:r>
            <w:r w:rsidRPr="00782B5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8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82B5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82B5A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 w:rsidRPr="00782B5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82B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2B5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  <w:p w:rsidR="00782B5A" w:rsidRDefault="0065419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  <w:r w:rsidR="00CA3872">
              <w:rPr>
                <w:rFonts w:ascii="Times New Roman" w:hAnsi="Times New Roman"/>
                <w:sz w:val="24"/>
                <w:szCs w:val="24"/>
              </w:rPr>
              <w:t>2</w:t>
            </w:r>
            <w:r w:rsidR="00CC7946">
              <w:rPr>
                <w:rFonts w:ascii="Times New Roman" w:hAnsi="Times New Roman"/>
                <w:sz w:val="24"/>
                <w:szCs w:val="24"/>
              </w:rPr>
              <w:t>017 г. №.69</w:t>
            </w:r>
            <w:r w:rsidR="00CC794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-2017</w:t>
            </w:r>
          </w:p>
          <w:p w:rsidR="00782B5A" w:rsidRDefault="00654199" w:rsidP="00461A45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 от _________</w:t>
            </w: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2415" w:type="dxa"/>
            <w:gridSpan w:val="2"/>
            <w:shd w:val="clear" w:color="FFFFFF" w:fill="auto"/>
            <w:vAlign w:val="bottom"/>
          </w:tcPr>
          <w:p w:rsidR="00782B5A" w:rsidRDefault="00782B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RP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Pr="00782B5A" w:rsidRDefault="00782B5A" w:rsidP="00461A45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Pr="00782B5A" w:rsidRDefault="00782B5A">
            <w:pPr>
              <w:rPr>
                <w:lang w:val="en-US"/>
              </w:rPr>
            </w:pPr>
          </w:p>
        </w:tc>
        <w:tc>
          <w:tcPr>
            <w:tcW w:w="1139" w:type="dxa"/>
            <w:shd w:val="clear" w:color="FFFFFF" w:fill="auto"/>
            <w:vAlign w:val="bottom"/>
          </w:tcPr>
          <w:p w:rsidR="00782B5A" w:rsidRPr="00782B5A" w:rsidRDefault="00782B5A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82B5A" w:rsidRPr="00782B5A" w:rsidRDefault="00782B5A">
            <w:pPr>
              <w:rPr>
                <w:lang w:val="en-US"/>
              </w:rPr>
            </w:pPr>
          </w:p>
        </w:tc>
        <w:tc>
          <w:tcPr>
            <w:tcW w:w="1752" w:type="dxa"/>
            <w:shd w:val="clear" w:color="FFFFFF" w:fill="auto"/>
            <w:vAlign w:val="bottom"/>
          </w:tcPr>
          <w:p w:rsidR="00782B5A" w:rsidRPr="00782B5A" w:rsidRDefault="00782B5A">
            <w:pPr>
              <w:rPr>
                <w:lang w:val="en-US"/>
              </w:rPr>
            </w:pPr>
          </w:p>
        </w:tc>
        <w:tc>
          <w:tcPr>
            <w:tcW w:w="1578" w:type="dxa"/>
            <w:shd w:val="clear" w:color="FFFFFF" w:fill="auto"/>
            <w:vAlign w:val="bottom"/>
          </w:tcPr>
          <w:p w:rsidR="00782B5A" w:rsidRPr="00782B5A" w:rsidRDefault="00782B5A">
            <w:pPr>
              <w:rPr>
                <w:lang w:val="en-US"/>
              </w:rPr>
            </w:pPr>
          </w:p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 w:rsidP="00461A45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782B5A" w:rsidTr="00A8219A">
        <w:trPr>
          <w:gridAfter w:val="1"/>
          <w:wAfter w:w="576" w:type="dxa"/>
          <w:trHeight w:val="315"/>
        </w:trPr>
        <w:tc>
          <w:tcPr>
            <w:tcW w:w="7917" w:type="dxa"/>
            <w:gridSpan w:val="3"/>
            <w:vMerge/>
            <w:shd w:val="clear" w:color="FFFFFF" w:fill="auto"/>
            <w:vAlign w:val="bottom"/>
          </w:tcPr>
          <w:p w:rsidR="00782B5A" w:rsidRDefault="00782B5A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782B5A" w:rsidRDefault="00782B5A"/>
        </w:tc>
        <w:tc>
          <w:tcPr>
            <w:tcW w:w="1139" w:type="dxa"/>
            <w:shd w:val="clear" w:color="FFFFFF" w:fill="auto"/>
            <w:vAlign w:val="bottom"/>
          </w:tcPr>
          <w:p w:rsidR="00782B5A" w:rsidRDefault="00782B5A"/>
        </w:tc>
        <w:tc>
          <w:tcPr>
            <w:tcW w:w="1276" w:type="dxa"/>
            <w:shd w:val="clear" w:color="FFFFFF" w:fill="auto"/>
            <w:vAlign w:val="bottom"/>
          </w:tcPr>
          <w:p w:rsidR="00782B5A" w:rsidRDefault="00782B5A"/>
        </w:tc>
        <w:tc>
          <w:tcPr>
            <w:tcW w:w="1752" w:type="dxa"/>
            <w:shd w:val="clear" w:color="FFFFFF" w:fill="auto"/>
            <w:vAlign w:val="bottom"/>
          </w:tcPr>
          <w:p w:rsidR="00782B5A" w:rsidRDefault="00782B5A"/>
        </w:tc>
        <w:tc>
          <w:tcPr>
            <w:tcW w:w="1578" w:type="dxa"/>
            <w:shd w:val="clear" w:color="FFFFFF" w:fill="auto"/>
            <w:vAlign w:val="bottom"/>
          </w:tcPr>
          <w:p w:rsidR="00782B5A" w:rsidRDefault="00782B5A"/>
        </w:tc>
      </w:tr>
      <w:tr w:rsidR="00D36C4C" w:rsidTr="00A8219A">
        <w:trPr>
          <w:gridAfter w:val="1"/>
          <w:wAfter w:w="576" w:type="dxa"/>
          <w:trHeight w:val="315"/>
        </w:trPr>
        <w:tc>
          <w:tcPr>
            <w:tcW w:w="356" w:type="dxa"/>
            <w:shd w:val="clear" w:color="FFFFFF" w:fill="auto"/>
            <w:vAlign w:val="bottom"/>
          </w:tcPr>
          <w:p w:rsidR="00D36C4C" w:rsidRDefault="00D36C4C"/>
        </w:tc>
        <w:tc>
          <w:tcPr>
            <w:tcW w:w="2855" w:type="dxa"/>
            <w:shd w:val="clear" w:color="FFFFFF" w:fill="auto"/>
            <w:vAlign w:val="bottom"/>
          </w:tcPr>
          <w:p w:rsidR="00D36C4C" w:rsidRDefault="00D36C4C"/>
        </w:tc>
        <w:tc>
          <w:tcPr>
            <w:tcW w:w="4706" w:type="dxa"/>
            <w:shd w:val="clear" w:color="FFFFFF" w:fill="auto"/>
            <w:vAlign w:val="bottom"/>
          </w:tcPr>
          <w:p w:rsidR="00D36C4C" w:rsidRDefault="00D36C4C"/>
        </w:tc>
        <w:tc>
          <w:tcPr>
            <w:tcW w:w="758" w:type="dxa"/>
            <w:shd w:val="clear" w:color="FFFFFF" w:fill="auto"/>
            <w:vAlign w:val="bottom"/>
          </w:tcPr>
          <w:p w:rsidR="00D36C4C" w:rsidRDefault="00D36C4C"/>
        </w:tc>
        <w:tc>
          <w:tcPr>
            <w:tcW w:w="1139" w:type="dxa"/>
            <w:shd w:val="clear" w:color="FFFFFF" w:fill="auto"/>
            <w:vAlign w:val="bottom"/>
          </w:tcPr>
          <w:p w:rsidR="00D36C4C" w:rsidRDefault="00D36C4C"/>
        </w:tc>
        <w:tc>
          <w:tcPr>
            <w:tcW w:w="1276" w:type="dxa"/>
            <w:shd w:val="clear" w:color="FFFFFF" w:fill="auto"/>
            <w:vAlign w:val="bottom"/>
          </w:tcPr>
          <w:p w:rsidR="00D36C4C" w:rsidRDefault="00D36C4C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trHeight w:val="315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</w:tr>
      <w:tr w:rsidR="00D36C4C" w:rsidTr="00A8219A">
        <w:trPr>
          <w:gridAfter w:val="1"/>
          <w:wAfter w:w="576" w:type="dxa"/>
          <w:trHeight w:val="315"/>
        </w:trPr>
        <w:tc>
          <w:tcPr>
            <w:tcW w:w="356" w:type="dxa"/>
            <w:shd w:val="clear" w:color="FFFFFF" w:fill="auto"/>
            <w:vAlign w:val="bottom"/>
          </w:tcPr>
          <w:p w:rsidR="00D36C4C" w:rsidRDefault="00D36C4C"/>
          <w:p w:rsidR="00312F64" w:rsidRDefault="00312F64"/>
          <w:p w:rsidR="00312F64" w:rsidRDefault="00312F64"/>
          <w:p w:rsidR="00312F64" w:rsidRDefault="00312F64"/>
        </w:tc>
        <w:tc>
          <w:tcPr>
            <w:tcW w:w="2855" w:type="dxa"/>
            <w:shd w:val="clear" w:color="FFFFFF" w:fill="auto"/>
            <w:vAlign w:val="bottom"/>
          </w:tcPr>
          <w:p w:rsidR="00D36C4C" w:rsidRDefault="00D36C4C"/>
        </w:tc>
        <w:tc>
          <w:tcPr>
            <w:tcW w:w="4706" w:type="dxa"/>
            <w:shd w:val="clear" w:color="FFFFFF" w:fill="auto"/>
            <w:vAlign w:val="bottom"/>
          </w:tcPr>
          <w:p w:rsidR="00D36C4C" w:rsidRDefault="00D36C4C"/>
        </w:tc>
        <w:tc>
          <w:tcPr>
            <w:tcW w:w="758" w:type="dxa"/>
            <w:shd w:val="clear" w:color="FFFFFF" w:fill="auto"/>
            <w:vAlign w:val="bottom"/>
          </w:tcPr>
          <w:p w:rsidR="00D36C4C" w:rsidRDefault="00D36C4C"/>
        </w:tc>
        <w:tc>
          <w:tcPr>
            <w:tcW w:w="1139" w:type="dxa"/>
            <w:shd w:val="clear" w:color="FFFFFF" w:fill="auto"/>
            <w:vAlign w:val="bottom"/>
          </w:tcPr>
          <w:p w:rsidR="00D36C4C" w:rsidRDefault="00D36C4C"/>
        </w:tc>
        <w:tc>
          <w:tcPr>
            <w:tcW w:w="1276" w:type="dxa"/>
            <w:shd w:val="clear" w:color="FFFFFF" w:fill="auto"/>
            <w:vAlign w:val="bottom"/>
          </w:tcPr>
          <w:p w:rsidR="00D36C4C" w:rsidRDefault="00D36C4C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375"/>
        </w:trPr>
        <w:tc>
          <w:tcPr>
            <w:tcW w:w="11090" w:type="dxa"/>
            <w:gridSpan w:val="6"/>
            <w:shd w:val="clear" w:color="FFFFFF" w:fill="auto"/>
            <w:vAlign w:val="bottom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375"/>
        </w:trPr>
        <w:tc>
          <w:tcPr>
            <w:tcW w:w="11090" w:type="dxa"/>
            <w:gridSpan w:val="6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6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782B5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36C4C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Pr="00D66B61" w:rsidRDefault="00782B5A">
            <w:pPr>
              <w:jc w:val="center"/>
              <w:rPr>
                <w:sz w:val="24"/>
                <w:szCs w:val="24"/>
              </w:rPr>
            </w:pPr>
            <w:r w:rsidRPr="00D66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Pr="00D66B61" w:rsidRDefault="008B5162" w:rsidP="00EB4DF0">
            <w:pPr>
              <w:rPr>
                <w:sz w:val="24"/>
                <w:szCs w:val="24"/>
              </w:rPr>
            </w:pPr>
            <w:r w:rsidRPr="008B5162">
              <w:rPr>
                <w:rFonts w:ascii="Times New Roman" w:hAnsi="Times New Roman"/>
                <w:sz w:val="24"/>
                <w:szCs w:val="24"/>
              </w:rPr>
              <w:t>Жгут венозный для внутривенных манипуляций с застежкой, взрослый</w:t>
            </w:r>
            <w:r w:rsidR="00775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CB9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Pr="00775C5E" w:rsidRDefault="008B5162" w:rsidP="008B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162">
              <w:rPr>
                <w:rFonts w:ascii="Times New Roman" w:hAnsi="Times New Roman" w:cs="Times New Roman"/>
                <w:sz w:val="24"/>
                <w:szCs w:val="24"/>
              </w:rPr>
              <w:t>Представляет собой практичную давящую повязку для вен (венозный жгут). Состоит из мягкой упругой резинотканевой ленты с наконечником и защелкой, пластмассового корпуса, замыкающего при манипуляциях ленту в петлю. При сжимании не вызывает боли и ущемления кожи и одежды. Степень сжатия петли легко регулируется: усиливается подтягиванием за наконечник жгута, ослабляется и отстегивается нажатиями на клавиши. Длина ленты в свободном состоянии не менее 45 см, в растянутом виде не менее 85 см. Ширина ленты - 2,5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Pr="00D66B61" w:rsidRDefault="00775C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Pr="00D66B61" w:rsidRDefault="008B51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85553B" w:rsidRPr="00D66B6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D36C4C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D36C4C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C4C" w:rsidRDefault="00D36C4C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800F7">
            <w:pPr>
              <w:rPr>
                <w:rFonts w:ascii="Times New Roman" w:hAnsi="Times New Roman"/>
                <w:sz w:val="24"/>
                <w:szCs w:val="24"/>
              </w:rPr>
            </w:pPr>
            <w:r w:rsidRPr="008800F7">
              <w:rPr>
                <w:rFonts w:ascii="Times New Roman" w:hAnsi="Times New Roman"/>
                <w:sz w:val="24"/>
                <w:szCs w:val="24"/>
              </w:rPr>
              <w:t xml:space="preserve">Зонд дуоденальный </w:t>
            </w:r>
            <w:proofErr w:type="spellStart"/>
            <w:r w:rsidRPr="008800F7">
              <w:rPr>
                <w:rFonts w:ascii="Times New Roman" w:hAnsi="Times New Roman"/>
                <w:sz w:val="24"/>
                <w:szCs w:val="24"/>
              </w:rPr>
              <w:t>Рильса</w:t>
            </w:r>
            <w:proofErr w:type="spellEnd"/>
            <w:r w:rsidRPr="008800F7">
              <w:rPr>
                <w:rFonts w:ascii="Times New Roman" w:hAnsi="Times New Roman"/>
                <w:sz w:val="24"/>
                <w:szCs w:val="24"/>
              </w:rPr>
              <w:t xml:space="preserve"> с РКП СН 12, длина 125 см</w:t>
            </w:r>
            <w:r w:rsidR="000D5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800F7" w:rsidP="0088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Дуоденальный катетер (зонд)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Рильса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. Для аспирации кишечного содержимого и проведения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питания. Изготовлен из ПВХ медицинского назначения, без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фталатов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. В качестве пластификаторов -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полиадипаты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, что указано на упаковке. В связи с этим может использоваться в течение 3-х недель не теряя своих свойств. Жесткость по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Шору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А78. Размер СН 12/125 см. Четыре увеличенных дренажных отверстия обеспечивают эффективный пассаж жидкости. Пропорциональность размеров боковых отверстий обеспечивает несминаемость дистального конца зонда. На дистальном конце -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рентгенконтрастная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олива, по всему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длиннику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трубки -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полоса, что позволяет контролировать процесс введения зонда в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двенадцатиперсную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кишку. С адаптером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Луэра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. Просвет не перекрывается при скручивании. Эффективная длина 1210 мм. Градуировка на расстоянии 380, 510 и 640 мм от дистального конца. Специально обработанная поверхность снижает потребность в применении смазывающих средств.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Цветомаркированный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 воронкообразный коннектор позволяет быстро определить диаметр изделия и может использоваться со всеми стандартными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адапторами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 xml:space="preserve">. В индивидуальной стерильной упаковке. Стерилизован </w:t>
            </w:r>
            <w:proofErr w:type="spellStart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этиленоксидом</w:t>
            </w:r>
            <w:proofErr w:type="spellEnd"/>
            <w:r w:rsidRPr="008800F7">
              <w:rPr>
                <w:rFonts w:ascii="Times New Roman" w:hAnsi="Times New Roman" w:cs="Times New Roman"/>
                <w:sz w:val="24"/>
                <w:szCs w:val="24"/>
              </w:rPr>
              <w:t>. Срок хранения не менее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80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761C3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C547B1">
            <w:pPr>
              <w:rPr>
                <w:rFonts w:ascii="Times New Roman" w:hAnsi="Times New Roman"/>
                <w:sz w:val="24"/>
                <w:szCs w:val="24"/>
              </w:rPr>
            </w:pPr>
            <w:r w:rsidRPr="00C547B1">
              <w:rPr>
                <w:rFonts w:ascii="Times New Roman" w:hAnsi="Times New Roman"/>
                <w:sz w:val="24"/>
                <w:szCs w:val="24"/>
              </w:rPr>
              <w:t>Игла для биопсии костного мозга MIELO-CAN, 15G x 20-60 мм</w:t>
            </w:r>
            <w:r w:rsidR="000D5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C547B1" w:rsidP="00C5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7B1">
              <w:rPr>
                <w:rFonts w:ascii="Times New Roman" w:hAnsi="Times New Roman" w:cs="Times New Roman"/>
                <w:sz w:val="24"/>
                <w:szCs w:val="24"/>
              </w:rPr>
              <w:t>Игла для биопсии костного мозга (одноразовая, стерильная). Игла имеет тройную заточку и удобную рукоятку. Механизм регулировки длины имеет миллиметровую шкалу. Для пункции из подвздошного гребня 15G с 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ируемой длиной от 2 до 6 см.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C54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79723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0D5165">
            <w:pPr>
              <w:rPr>
                <w:rFonts w:ascii="Times New Roman" w:hAnsi="Times New Roman"/>
                <w:sz w:val="24"/>
                <w:szCs w:val="24"/>
              </w:rPr>
            </w:pPr>
            <w:r w:rsidRPr="000D5165">
              <w:rPr>
                <w:rFonts w:ascii="Times New Roman" w:hAnsi="Times New Roman"/>
                <w:sz w:val="24"/>
                <w:szCs w:val="24"/>
              </w:rPr>
              <w:t xml:space="preserve">Игла для </w:t>
            </w:r>
            <w:proofErr w:type="spellStart"/>
            <w:r w:rsidRPr="000D5165">
              <w:rPr>
                <w:rFonts w:ascii="Times New Roman" w:hAnsi="Times New Roman"/>
                <w:sz w:val="24"/>
                <w:szCs w:val="24"/>
              </w:rPr>
              <w:t>трепанобиопсии</w:t>
            </w:r>
            <w:proofErr w:type="spellEnd"/>
            <w:r w:rsidRPr="000D5165">
              <w:rPr>
                <w:rFonts w:ascii="Times New Roman" w:hAnsi="Times New Roman"/>
                <w:sz w:val="24"/>
                <w:szCs w:val="24"/>
              </w:rPr>
              <w:t xml:space="preserve"> костной ткани BEST-LISAS PARAGON, 9G x 10 </w:t>
            </w:r>
            <w:proofErr w:type="spellStart"/>
            <w:r w:rsidRPr="000D5165"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0D5165" w:rsidP="000D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165">
              <w:rPr>
                <w:rFonts w:ascii="Times New Roman" w:hAnsi="Times New Roman" w:cs="Times New Roman"/>
                <w:sz w:val="24"/>
                <w:szCs w:val="24"/>
              </w:rPr>
              <w:t xml:space="preserve">Игла для </w:t>
            </w:r>
            <w:proofErr w:type="spellStart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>трепанобиопсии</w:t>
            </w:r>
            <w:proofErr w:type="spellEnd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 xml:space="preserve"> костной ткани с системой облегченного отделения образца, функционирующей с помощью полуавтоматической встроенной системы облегченного отделения. Размер 9G (3,5 мм), длина 10 </w:t>
            </w:r>
            <w:proofErr w:type="spellStart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proofErr w:type="spellEnd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 xml:space="preserve">. Игла является новейшей генерацией игл для </w:t>
            </w:r>
            <w:proofErr w:type="spellStart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>трепанобиопсии</w:t>
            </w:r>
            <w:proofErr w:type="spellEnd"/>
            <w:r w:rsidRPr="000D5165">
              <w:rPr>
                <w:rFonts w:ascii="Times New Roman" w:hAnsi="Times New Roman" w:cs="Times New Roman"/>
                <w:sz w:val="24"/>
                <w:szCs w:val="24"/>
              </w:rPr>
              <w:t>, позволяет проводить максимально безопасную биопсию костной ткани и 100% успешное извлечение неповрежденного образца.  Благодаря уникальной системе фиксации образца, в процессе биопсии не требуется производить «выламывающие» движения, что значительно снижает кровопотерю и болевые ощущения у пациента. Однор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азовая, стерильная.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51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E047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3FBF">
            <w:pPr>
              <w:rPr>
                <w:rFonts w:ascii="Times New Roman" w:hAnsi="Times New Roman"/>
                <w:sz w:val="24"/>
                <w:szCs w:val="24"/>
              </w:rPr>
            </w:pPr>
            <w:r w:rsidRPr="00BE3FBF"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 w:rsidRPr="00BE3FBF">
              <w:rPr>
                <w:rFonts w:ascii="Times New Roman" w:hAnsi="Times New Roman"/>
                <w:sz w:val="24"/>
                <w:szCs w:val="24"/>
              </w:rPr>
              <w:t>Нелатона</w:t>
            </w:r>
            <w:proofErr w:type="spellEnd"/>
            <w:r w:rsidRPr="00BE3FBF">
              <w:rPr>
                <w:rFonts w:ascii="Times New Roman" w:hAnsi="Times New Roman"/>
                <w:sz w:val="24"/>
                <w:szCs w:val="24"/>
              </w:rPr>
              <w:t xml:space="preserve"> СН 12 мужской 40 см</w:t>
            </w:r>
            <w:r w:rsidR="00416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3FBF" w:rsidP="00BE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BF">
              <w:rPr>
                <w:rFonts w:ascii="Times New Roman" w:hAnsi="Times New Roman" w:cs="Times New Roman"/>
                <w:sz w:val="24"/>
                <w:szCs w:val="24"/>
              </w:rPr>
              <w:t xml:space="preserve">Катетер мужской уретральный </w:t>
            </w:r>
            <w:proofErr w:type="spellStart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>Нелатона</w:t>
            </w:r>
            <w:proofErr w:type="spellEnd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 xml:space="preserve">. Размер СН 12/40 см, материал изготовления – ПВХ. Особое качество обработки поверхности: "замороженная поверхность". С прочным гладким </w:t>
            </w:r>
            <w:proofErr w:type="spellStart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>атравматичным</w:t>
            </w:r>
            <w:proofErr w:type="spellEnd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 xml:space="preserve"> слепым концом - с одной стороны и </w:t>
            </w:r>
            <w:proofErr w:type="spellStart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>цветомаркированным</w:t>
            </w:r>
            <w:proofErr w:type="spellEnd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коннектором - с другой.  Вблизи пузырного конца катетера - гладкие боковые овальные дренажные отверстия оптимального размера на разном расстоянии от пузырного конца катетера. Упакован в развернутом виде в стерильную упаковку - блистер с легко разъединяющимися со стороны коннектора </w:t>
            </w:r>
            <w:proofErr w:type="spellStart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>лепесками</w:t>
            </w:r>
            <w:proofErr w:type="spellEnd"/>
            <w:r w:rsidRPr="00BE3FBF">
              <w:rPr>
                <w:rFonts w:ascii="Times New Roman" w:hAnsi="Times New Roman" w:cs="Times New Roman"/>
                <w:sz w:val="24"/>
                <w:szCs w:val="24"/>
              </w:rPr>
              <w:t xml:space="preserve">. Срок сохранения стерильности </w:t>
            </w:r>
            <w:r w:rsidRPr="00BE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не менее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3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80650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A3F6C">
            <w:pPr>
              <w:rPr>
                <w:rFonts w:ascii="Times New Roman" w:hAnsi="Times New Roman"/>
                <w:sz w:val="24"/>
                <w:szCs w:val="24"/>
              </w:rPr>
            </w:pPr>
            <w:r w:rsidRPr="00BA3F6C"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 w:rsidRPr="00BA3F6C">
              <w:rPr>
                <w:rFonts w:ascii="Times New Roman" w:hAnsi="Times New Roman"/>
                <w:sz w:val="24"/>
                <w:szCs w:val="24"/>
              </w:rPr>
              <w:t>Нелатона</w:t>
            </w:r>
            <w:proofErr w:type="spellEnd"/>
            <w:r w:rsidRPr="00BA3F6C">
              <w:rPr>
                <w:rFonts w:ascii="Times New Roman" w:hAnsi="Times New Roman"/>
                <w:sz w:val="24"/>
                <w:szCs w:val="24"/>
              </w:rPr>
              <w:t xml:space="preserve"> СН 14 мужской 40 см</w:t>
            </w:r>
            <w:r w:rsidR="00416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A3F6C" w:rsidP="00BA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F6C">
              <w:rPr>
                <w:rFonts w:ascii="Times New Roman" w:hAnsi="Times New Roman" w:cs="Times New Roman"/>
                <w:sz w:val="24"/>
                <w:szCs w:val="24"/>
              </w:rPr>
              <w:t xml:space="preserve">Катетер мужской уретральный </w:t>
            </w:r>
            <w:proofErr w:type="spellStart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>Нелатона</w:t>
            </w:r>
            <w:proofErr w:type="spellEnd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 xml:space="preserve">. Размер СН 14/40 см, материал изготовления – ПВХ. Особое качество обработки поверхности: "замороженная поверхность". С прочным гладким </w:t>
            </w:r>
            <w:proofErr w:type="spellStart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>атравматичным</w:t>
            </w:r>
            <w:proofErr w:type="spellEnd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 xml:space="preserve"> слепым концом - с одной стороны и </w:t>
            </w:r>
            <w:proofErr w:type="spellStart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>цветомаркированным</w:t>
            </w:r>
            <w:proofErr w:type="spellEnd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коннектором - с другой.  Вблизи пузырного конца катетера - гладкие боковые овальные дренажные отверстия оптимального размера на разном расстоянии от пузырного конца катетера. Упакован в развернутом виде в стерильную упаковку - блистер с легко разъединяющимися со стороны коннектора </w:t>
            </w:r>
            <w:proofErr w:type="spellStart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>лепесками</w:t>
            </w:r>
            <w:proofErr w:type="spellEnd"/>
            <w:r w:rsidRPr="00BA3F6C">
              <w:rPr>
                <w:rFonts w:ascii="Times New Roman" w:hAnsi="Times New Roman" w:cs="Times New Roman"/>
                <w:sz w:val="24"/>
                <w:szCs w:val="24"/>
              </w:rPr>
              <w:t>. Срок сохранения стерильности катетера не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A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80170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C96E4B">
            <w:pPr>
              <w:rPr>
                <w:rFonts w:ascii="Times New Roman" w:hAnsi="Times New Roman"/>
                <w:sz w:val="24"/>
                <w:szCs w:val="24"/>
              </w:rPr>
            </w:pPr>
            <w:r w:rsidRPr="00C96E4B"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 w:rsidRPr="00C96E4B">
              <w:rPr>
                <w:rFonts w:ascii="Times New Roman" w:hAnsi="Times New Roman"/>
                <w:sz w:val="24"/>
                <w:szCs w:val="24"/>
              </w:rPr>
              <w:t>Нелатона</w:t>
            </w:r>
            <w:proofErr w:type="spellEnd"/>
            <w:r w:rsidRPr="00C96E4B">
              <w:rPr>
                <w:rFonts w:ascii="Times New Roman" w:hAnsi="Times New Roman"/>
                <w:sz w:val="24"/>
                <w:szCs w:val="24"/>
              </w:rPr>
              <w:t xml:space="preserve"> СН 16 мужской 40 см</w:t>
            </w:r>
            <w:r w:rsidR="00416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C96E4B" w:rsidP="00C9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4B">
              <w:rPr>
                <w:rFonts w:ascii="Times New Roman" w:hAnsi="Times New Roman" w:cs="Times New Roman"/>
                <w:sz w:val="24"/>
                <w:szCs w:val="24"/>
              </w:rPr>
              <w:t xml:space="preserve">Катетер мужской уретральный </w:t>
            </w:r>
            <w:proofErr w:type="spellStart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>Нелатона</w:t>
            </w:r>
            <w:proofErr w:type="spellEnd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 xml:space="preserve">. Размер СН 16/40 см, материал изготовления – ПВХ. Особое качество обработки поверхности: "замороженная поверхность". С прочным гладким </w:t>
            </w:r>
            <w:proofErr w:type="spellStart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>атравматичным</w:t>
            </w:r>
            <w:proofErr w:type="spellEnd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 xml:space="preserve"> слепым концом - с одной стороны и </w:t>
            </w:r>
            <w:proofErr w:type="spellStart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>цветомаркированным</w:t>
            </w:r>
            <w:proofErr w:type="spellEnd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коннектором - с другой. Вблизи пузырного конца катетера - гладкие боковые овальные дренажные отверстия оптимального размера на разном расстоянии от пузырного конца катетера. Упакован в развернутом виде в стерильную упаковку - блистер с легко разъединяющимися со стороны коннектора </w:t>
            </w:r>
            <w:proofErr w:type="spellStart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>лепесками</w:t>
            </w:r>
            <w:proofErr w:type="spellEnd"/>
            <w:r w:rsidRPr="00C96E4B">
              <w:rPr>
                <w:rFonts w:ascii="Times New Roman" w:hAnsi="Times New Roman" w:cs="Times New Roman"/>
                <w:sz w:val="24"/>
                <w:szCs w:val="24"/>
              </w:rPr>
              <w:t xml:space="preserve">. Срок сохранения стерильности </w:t>
            </w:r>
            <w:r w:rsidRPr="00C96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не менее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6E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5E5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416999">
            <w:pPr>
              <w:rPr>
                <w:rFonts w:ascii="Times New Roman" w:hAnsi="Times New Roman"/>
                <w:sz w:val="24"/>
                <w:szCs w:val="24"/>
              </w:rPr>
            </w:pPr>
            <w:r w:rsidRPr="00416999"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 w:rsidRPr="00416999">
              <w:rPr>
                <w:rFonts w:ascii="Times New Roman" w:hAnsi="Times New Roman"/>
                <w:sz w:val="24"/>
                <w:szCs w:val="24"/>
              </w:rPr>
              <w:t>Нелатона</w:t>
            </w:r>
            <w:proofErr w:type="spellEnd"/>
            <w:r w:rsidRPr="00416999">
              <w:rPr>
                <w:rFonts w:ascii="Times New Roman" w:hAnsi="Times New Roman"/>
                <w:sz w:val="24"/>
                <w:szCs w:val="24"/>
              </w:rPr>
              <w:t xml:space="preserve"> СН 20 мужской 40 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416999" w:rsidP="0041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99">
              <w:rPr>
                <w:rFonts w:ascii="Times New Roman" w:hAnsi="Times New Roman" w:cs="Times New Roman"/>
                <w:sz w:val="24"/>
                <w:szCs w:val="24"/>
              </w:rPr>
              <w:t xml:space="preserve">Катетер мужской уретральный </w:t>
            </w:r>
            <w:proofErr w:type="spellStart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>Нелатона</w:t>
            </w:r>
            <w:proofErr w:type="spellEnd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 xml:space="preserve">. Размер СН 20/40 см, материал изготовления – ПВХ. Особое качество обработки поверхности: "замороженная поверхность". С прочным гладким </w:t>
            </w:r>
            <w:proofErr w:type="spellStart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>атравматичным</w:t>
            </w:r>
            <w:proofErr w:type="spellEnd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 xml:space="preserve"> слепым концом - с одной стороны и </w:t>
            </w:r>
            <w:proofErr w:type="spellStart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>цветомаркированным</w:t>
            </w:r>
            <w:proofErr w:type="spellEnd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 xml:space="preserve"> коннектором - с другой.  Вблизи пузырного конца катетера - гладкие боковые овальные дренажные отверстия оптимального размера на разном расстоянии от пузырного конца катетера. Упакован в развернутом виде в стерильную упаковку - блистер с легко разъединяющимися со стороны коннектора </w:t>
            </w:r>
            <w:proofErr w:type="spellStart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>лепесками</w:t>
            </w:r>
            <w:proofErr w:type="spellEnd"/>
            <w:r w:rsidRPr="00416999">
              <w:rPr>
                <w:rFonts w:ascii="Times New Roman" w:hAnsi="Times New Roman" w:cs="Times New Roman"/>
                <w:sz w:val="24"/>
                <w:szCs w:val="24"/>
              </w:rPr>
              <w:t>. Срок сохранения стерильности катет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 не менее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69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D5D4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497F2C">
            <w:pPr>
              <w:rPr>
                <w:rFonts w:ascii="Times New Roman" w:hAnsi="Times New Roman"/>
                <w:sz w:val="24"/>
                <w:szCs w:val="24"/>
              </w:rPr>
            </w:pPr>
            <w:r w:rsidRPr="00497F2C"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 w:rsidRPr="00497F2C"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 w:rsidRPr="00497F2C">
              <w:rPr>
                <w:rFonts w:ascii="Times New Roman" w:hAnsi="Times New Roman"/>
                <w:sz w:val="24"/>
                <w:szCs w:val="24"/>
              </w:rPr>
              <w:t xml:space="preserve"> СН 14 двухходовый 40 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497F2C" w:rsidP="0049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>уретральний</w:t>
            </w:r>
            <w:proofErr w:type="spellEnd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proofErr w:type="spellStart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>ходовый</w:t>
            </w:r>
            <w:proofErr w:type="spellEnd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 СН 14. </w:t>
            </w:r>
            <w:proofErr w:type="spellStart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>Изготолен</w:t>
            </w:r>
            <w:proofErr w:type="spellEnd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на всем протяжении использования и препятствующий соприкосновению стенок уретры с материалом катетера, имеет атравматический закругленный кончик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>соотвествующая</w:t>
            </w:r>
            <w:proofErr w:type="spellEnd"/>
            <w:r w:rsidRPr="00497F2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стандарту размеров.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7F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122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B3CCC">
            <w:pPr>
              <w:rPr>
                <w:rFonts w:ascii="Times New Roman" w:hAnsi="Times New Roman"/>
                <w:sz w:val="24"/>
                <w:szCs w:val="24"/>
              </w:rPr>
            </w:pPr>
            <w:r w:rsidRPr="008B3CCC"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  <w:proofErr w:type="spellStart"/>
            <w:r w:rsidRPr="008B3CCC"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 w:rsidRPr="008B3CCC">
              <w:rPr>
                <w:rFonts w:ascii="Times New Roman" w:hAnsi="Times New Roman"/>
                <w:sz w:val="24"/>
                <w:szCs w:val="24"/>
              </w:rPr>
              <w:t xml:space="preserve"> резиновая р.</w:t>
            </w:r>
            <w:proofErr w:type="gramStart"/>
            <w:r w:rsidRPr="008B3CCC">
              <w:rPr>
                <w:rFonts w:ascii="Times New Roman" w:hAnsi="Times New Roman"/>
                <w:sz w:val="24"/>
                <w:szCs w:val="24"/>
              </w:rPr>
              <w:t>2  (</w:t>
            </w:r>
            <w:proofErr w:type="gramEnd"/>
            <w:r w:rsidRPr="008B3CCC">
              <w:rPr>
                <w:rFonts w:ascii="Times New Roman" w:hAnsi="Times New Roman"/>
                <w:sz w:val="24"/>
                <w:szCs w:val="24"/>
              </w:rPr>
              <w:t>1,5 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B3CCC" w:rsidP="008B3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CCC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 входят два наконечника: жесткий (ПЭ) – 95 х 7,4 мм и мягкий (ПВХ) – 76 х 7 мм. Наконечник можно сменить, опустив конец трубки в воду с горячей водой. Производятся из высококачественных материалов, согласованных с органами здравоохранения; не содержат токсичных и аллергических </w:t>
            </w:r>
            <w:proofErr w:type="spellStart"/>
            <w:r w:rsidRPr="008B3CCC">
              <w:rPr>
                <w:rFonts w:ascii="Times New Roman" w:hAnsi="Times New Roman" w:cs="Times New Roman"/>
                <w:sz w:val="24"/>
                <w:szCs w:val="24"/>
              </w:rPr>
              <w:t>компанентов</w:t>
            </w:r>
            <w:proofErr w:type="spellEnd"/>
            <w:r w:rsidRPr="008B3CCC">
              <w:rPr>
                <w:rFonts w:ascii="Times New Roman" w:hAnsi="Times New Roman" w:cs="Times New Roman"/>
                <w:sz w:val="24"/>
                <w:szCs w:val="24"/>
              </w:rPr>
              <w:t>; подходят для многократного и продолжительного применения; стойки к многократным дезинфекциям; комплектуются двумя наконечниками: мягким и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ердым. Объем 1,5 л.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3CC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77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A2346F">
            <w:pPr>
              <w:rPr>
                <w:rFonts w:ascii="Times New Roman" w:hAnsi="Times New Roman"/>
                <w:sz w:val="24"/>
                <w:szCs w:val="24"/>
              </w:rPr>
            </w:pPr>
            <w:r w:rsidRPr="00A2346F">
              <w:rPr>
                <w:rFonts w:ascii="Times New Roman" w:hAnsi="Times New Roman"/>
                <w:sz w:val="24"/>
                <w:szCs w:val="24"/>
              </w:rPr>
              <w:t xml:space="preserve">Набор гинекологический (зеркало по Куско №2, </w:t>
            </w:r>
            <w:proofErr w:type="spellStart"/>
            <w:r w:rsidRPr="00A2346F">
              <w:rPr>
                <w:rFonts w:ascii="Times New Roman" w:hAnsi="Times New Roman"/>
                <w:sz w:val="24"/>
                <w:szCs w:val="24"/>
              </w:rPr>
              <w:t>цитощетка</w:t>
            </w:r>
            <w:proofErr w:type="spellEnd"/>
            <w:r w:rsidRPr="00A2346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1C2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A2346F" w:rsidP="00A2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6F">
              <w:rPr>
                <w:rFonts w:ascii="Times New Roman" w:hAnsi="Times New Roman" w:cs="Times New Roman"/>
                <w:sz w:val="24"/>
                <w:szCs w:val="24"/>
              </w:rPr>
              <w:t xml:space="preserve">Набор одноразовый, стерильный предназначен для гинекологических обследований, проведения профилактических осмотров, лечебных процедур, взятия проб на анализ при медосмотрах и диагностике. Состав набора: зеркало гинекологическое полимерное двухстворчатое №2, однократного применения стерильное; </w:t>
            </w:r>
            <w:proofErr w:type="spellStart"/>
            <w:r w:rsidRPr="00A2346F">
              <w:rPr>
                <w:rFonts w:ascii="Times New Roman" w:hAnsi="Times New Roman" w:cs="Times New Roman"/>
                <w:sz w:val="24"/>
                <w:szCs w:val="24"/>
              </w:rPr>
              <w:t>цитощетка</w:t>
            </w:r>
            <w:proofErr w:type="spellEnd"/>
            <w:r w:rsidRPr="00A2346F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одноразовая; салфетка размером не менее 60 х 40 см; перчатки медицинские диагностические, одноразовые. Набор инструментов для гинекологических обследований, однократного применения, представляет собой набор гинекологических инструментов и средств индивидуальной защиты врача и пациента от инфицирования. Все комплектующие входящие с состав набора изготовлены из нетоксичных полимерных материалов. Индивидуальная потребительская упаковка герметично заварена. Стерилизация наборов газовая – оксидом этилена. Срок годности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 .</w:t>
            </w:r>
            <w:proofErr w:type="gramEnd"/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1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A23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39328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FB651D">
            <w:pPr>
              <w:rPr>
                <w:rFonts w:ascii="Times New Roman" w:hAnsi="Times New Roman"/>
                <w:sz w:val="24"/>
                <w:szCs w:val="24"/>
              </w:rPr>
            </w:pPr>
            <w:r w:rsidRPr="00FB651D">
              <w:rPr>
                <w:rFonts w:ascii="Times New Roman" w:hAnsi="Times New Roman"/>
                <w:sz w:val="24"/>
                <w:szCs w:val="24"/>
              </w:rPr>
              <w:t xml:space="preserve">Набор гинекологический (зеркало по Куско №2, шпатель </w:t>
            </w:r>
            <w:proofErr w:type="spellStart"/>
            <w:r w:rsidRPr="00FB651D">
              <w:rPr>
                <w:rFonts w:ascii="Times New Roman" w:hAnsi="Times New Roman"/>
                <w:sz w:val="24"/>
                <w:szCs w:val="24"/>
              </w:rPr>
              <w:t>Эйра</w:t>
            </w:r>
            <w:proofErr w:type="spellEnd"/>
            <w:r w:rsidRPr="00FB651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7AB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FB651D" w:rsidP="00FB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1D">
              <w:rPr>
                <w:rFonts w:ascii="Times New Roman" w:hAnsi="Times New Roman" w:cs="Times New Roman"/>
                <w:sz w:val="24"/>
                <w:szCs w:val="24"/>
              </w:rPr>
              <w:t>Набор одноразовый, стерильный предназначен для гинекологических обследований, проведения профилактических осмотров, лечебных процедур, взятия проб на анализ при медосмотрах и диагностике. Состав набора: зеркало гинекологическое полимерное двухстворчатое №2, однократного применения, стерильное; шпатель гинекологический для взятия мазка двухсторонний, полимерный, одноразовый; салфетка размером не менее 60 х 40 см; перчатки медицинские диагностические одноразовые. Набор инструментов для гинекологических обследований, однократного применения, представляет собой набор гинекологических инструментов и средств индивидуальной защиты врача и пациента от инфицирования. Все комплектующие входящие с состав набора изготовлены из нетоксичных полимерных материалов. Индивидуальная потребительская упаковка герметично заварена. Стерилизация наборов газовая – оксидом этилена. Срок годност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 менее 3-х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1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FB6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2431A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F813E1">
            <w:pPr>
              <w:rPr>
                <w:rFonts w:ascii="Times New Roman" w:hAnsi="Times New Roman"/>
                <w:sz w:val="24"/>
                <w:szCs w:val="24"/>
              </w:rPr>
            </w:pPr>
            <w:r w:rsidRPr="00F813E1">
              <w:rPr>
                <w:rFonts w:ascii="Times New Roman" w:hAnsi="Times New Roman"/>
                <w:sz w:val="24"/>
                <w:szCs w:val="24"/>
              </w:rPr>
              <w:t xml:space="preserve">Наконечник для кружки </w:t>
            </w:r>
            <w:proofErr w:type="spellStart"/>
            <w:r w:rsidRPr="00F813E1"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 w:rsidRPr="00F813E1">
              <w:rPr>
                <w:rFonts w:ascii="Times New Roman" w:hAnsi="Times New Roman"/>
                <w:sz w:val="24"/>
                <w:szCs w:val="24"/>
              </w:rPr>
              <w:t xml:space="preserve"> взрослый, одноразовый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7AB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F813E1" w:rsidP="00F8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E1">
              <w:rPr>
                <w:rFonts w:ascii="Times New Roman" w:hAnsi="Times New Roman" w:cs="Times New Roman"/>
                <w:sz w:val="24"/>
                <w:szCs w:val="24"/>
              </w:rPr>
              <w:t>Наконечники предназначены для промывания и спринцевания полостей организма человека, а также микроклизм. Наконечники для взрослых, размер 8,0 х 160. Наконечники по техническим характеристикам соответствуют требованиям ТУ 9398-004-27380060-2006. Наконечники представляет собой цилиндрическую деталь, имеющую рабочую и присоединительную части. В присоединительной части имеется дополнительный внутренний конус "</w:t>
            </w:r>
            <w:proofErr w:type="spellStart"/>
            <w:r w:rsidRPr="00F813E1">
              <w:rPr>
                <w:rFonts w:ascii="Times New Roman" w:hAnsi="Times New Roman" w:cs="Times New Roman"/>
                <w:sz w:val="24"/>
                <w:szCs w:val="24"/>
              </w:rPr>
              <w:t>Луер</w:t>
            </w:r>
            <w:proofErr w:type="spellEnd"/>
            <w:r w:rsidRPr="00F813E1">
              <w:rPr>
                <w:rFonts w:ascii="Times New Roman" w:hAnsi="Times New Roman" w:cs="Times New Roman"/>
                <w:sz w:val="24"/>
                <w:szCs w:val="24"/>
              </w:rPr>
              <w:t xml:space="preserve">". Наконечники изготовлены из </w:t>
            </w:r>
            <w:r w:rsidRPr="00F81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полипропилена. Индивидуальная потребительская упаковка герметично заварена. Наконечники стерильны, нетоксичны. Стерилизация наконечников газовая – оксидом этилена. Средний срок годности наконечни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не менее 3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r w:rsidR="00BE14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894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13E1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171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BE42A9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BE4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723E87">
            <w:pPr>
              <w:rPr>
                <w:rFonts w:ascii="Times New Roman" w:hAnsi="Times New Roman"/>
                <w:sz w:val="24"/>
                <w:szCs w:val="24"/>
              </w:rPr>
            </w:pPr>
            <w:r w:rsidRPr="00723E87">
              <w:rPr>
                <w:rFonts w:ascii="Times New Roman" w:hAnsi="Times New Roman"/>
                <w:sz w:val="24"/>
                <w:szCs w:val="24"/>
              </w:rPr>
              <w:t xml:space="preserve">Термометр медицинский </w:t>
            </w:r>
            <w:proofErr w:type="spellStart"/>
            <w:r w:rsidRPr="00723E87">
              <w:rPr>
                <w:rFonts w:ascii="Times New Roman" w:hAnsi="Times New Roman"/>
                <w:sz w:val="24"/>
                <w:szCs w:val="24"/>
              </w:rPr>
              <w:t>безртутный</w:t>
            </w:r>
            <w:proofErr w:type="spellEnd"/>
            <w:r w:rsidRPr="00723E87">
              <w:rPr>
                <w:rFonts w:ascii="Times New Roman" w:hAnsi="Times New Roman"/>
                <w:sz w:val="24"/>
                <w:szCs w:val="24"/>
              </w:rPr>
              <w:t xml:space="preserve"> в футляре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7AB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723E87" w:rsidP="0072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корпуса – </w:t>
            </w:r>
            <w:proofErr w:type="gramStart"/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proofErr w:type="gramEnd"/>
            <w:r w:rsidRPr="00723E87">
              <w:rPr>
                <w:rFonts w:ascii="Times New Roman" w:hAnsi="Times New Roman" w:cs="Times New Roman"/>
                <w:sz w:val="24"/>
                <w:szCs w:val="24"/>
              </w:rPr>
              <w:t xml:space="preserve"> закаленное. Диапазон измерения температуры – от 35°С до 42°С, Точность измерений – +/- 0,1° С. Время измерения 3-5 мин. Отсутствие ртути, отсутствие спирта. Заменитель ртути – жидкий сплав металлов -Галлий, Индий, Олово. Защитный </w:t>
            </w:r>
            <w:proofErr w:type="gramStart"/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ластиковый  футляр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Pr="00D66B61" w:rsidRDefault="00723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894FDA">
              <w:rPr>
                <w:rFonts w:ascii="Times New Roman" w:hAnsi="Times New Roman"/>
                <w:sz w:val="24"/>
                <w:szCs w:val="24"/>
              </w:rPr>
              <w:t>,</w:t>
            </w:r>
            <w:r w:rsidR="0008577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42A9" w:rsidRDefault="00BE42A9"/>
        </w:tc>
      </w:tr>
      <w:tr w:rsidR="007A2CEE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7A2CEE" w:rsidRDefault="007A2C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C457B3">
            <w:pPr>
              <w:rPr>
                <w:rFonts w:ascii="Times New Roman" w:hAnsi="Times New Roman"/>
                <w:sz w:val="24"/>
                <w:szCs w:val="24"/>
              </w:rPr>
            </w:pPr>
            <w:r w:rsidRPr="00C457B3">
              <w:rPr>
                <w:rFonts w:ascii="Times New Roman" w:hAnsi="Times New Roman"/>
                <w:sz w:val="24"/>
                <w:szCs w:val="24"/>
              </w:rPr>
              <w:t>Тест-полоски офтальмологические диагностические "</w:t>
            </w:r>
            <w:proofErr w:type="spellStart"/>
            <w:r w:rsidRPr="00C457B3">
              <w:rPr>
                <w:rFonts w:ascii="Times New Roman" w:hAnsi="Times New Roman"/>
                <w:sz w:val="24"/>
                <w:szCs w:val="24"/>
              </w:rPr>
              <w:t>Офтолик</w:t>
            </w:r>
            <w:proofErr w:type="spellEnd"/>
            <w:r w:rsidRPr="00C457B3">
              <w:rPr>
                <w:rFonts w:ascii="Times New Roman" w:hAnsi="Times New Roman"/>
                <w:sz w:val="24"/>
                <w:szCs w:val="24"/>
              </w:rPr>
              <w:t xml:space="preserve">® - тест" для пробы </w:t>
            </w:r>
            <w:proofErr w:type="spellStart"/>
            <w:r w:rsidRPr="00C457B3">
              <w:rPr>
                <w:rFonts w:ascii="Times New Roman" w:hAnsi="Times New Roman"/>
                <w:sz w:val="24"/>
                <w:szCs w:val="24"/>
              </w:rPr>
              <w:t>Ширмера</w:t>
            </w:r>
            <w:proofErr w:type="spellEnd"/>
            <w:r w:rsidRPr="00C457B3">
              <w:rPr>
                <w:rFonts w:ascii="Times New Roman" w:hAnsi="Times New Roman"/>
                <w:sz w:val="24"/>
                <w:szCs w:val="24"/>
              </w:rPr>
              <w:t xml:space="preserve"> №100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E87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57B3" w:rsidRPr="00C457B3" w:rsidRDefault="00C457B3" w:rsidP="00C4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B3">
              <w:rPr>
                <w:rFonts w:ascii="Times New Roman" w:hAnsi="Times New Roman" w:cs="Times New Roman"/>
                <w:sz w:val="24"/>
                <w:szCs w:val="24"/>
              </w:rPr>
              <w:t xml:space="preserve">"Стерильная фильтровальная бумага. Применяется для определения уровня </w:t>
            </w:r>
            <w:proofErr w:type="spellStart"/>
            <w:r w:rsidRPr="00C457B3">
              <w:rPr>
                <w:rFonts w:ascii="Times New Roman" w:hAnsi="Times New Roman" w:cs="Times New Roman"/>
                <w:sz w:val="24"/>
                <w:szCs w:val="24"/>
              </w:rPr>
              <w:t>слёзопродукции</w:t>
            </w:r>
            <w:proofErr w:type="spellEnd"/>
            <w:r w:rsidRPr="00C457B3">
              <w:rPr>
                <w:rFonts w:ascii="Times New Roman" w:hAnsi="Times New Roman" w:cs="Times New Roman"/>
                <w:sz w:val="24"/>
                <w:szCs w:val="24"/>
              </w:rPr>
              <w:t xml:space="preserve">, диагностики синдрома сухого глаза. Длина 60 мм. Впитывающая часть полоски 5х40 мм. Полоска состоит из впитывающей бумаги, не пропитанной красителем и градуирована шкалой от 0 до 35 мм. Каждая тест-полоска запакована в стерильную индивидуальную упаковку. В одной коробке содержится 100 тест-полосок. </w:t>
            </w:r>
          </w:p>
          <w:p w:rsidR="007A2CEE" w:rsidRPr="00D66B61" w:rsidRDefault="00C457B3" w:rsidP="00C4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B3">
              <w:rPr>
                <w:rFonts w:ascii="Times New Roman" w:hAnsi="Times New Roman" w:cs="Times New Roman"/>
                <w:sz w:val="24"/>
                <w:szCs w:val="24"/>
              </w:rPr>
              <w:t>Впитывающая часть тест-полосок имеет закругленную форму для обеспечения пациенту комфорта при проведении теста. Продукт предназначен для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специалистами."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1C1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C4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</w:tr>
      <w:tr w:rsidR="007A2CEE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7A2CEE" w:rsidRDefault="007A2C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AA05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565">
              <w:rPr>
                <w:rFonts w:ascii="Times New Roman" w:hAnsi="Times New Roman"/>
                <w:sz w:val="24"/>
                <w:szCs w:val="24"/>
              </w:rPr>
              <w:t>Цитощетка</w:t>
            </w:r>
            <w:proofErr w:type="spellEnd"/>
            <w:r w:rsidRPr="00AA0565">
              <w:rPr>
                <w:rFonts w:ascii="Times New Roman" w:hAnsi="Times New Roman"/>
                <w:sz w:val="24"/>
                <w:szCs w:val="24"/>
              </w:rPr>
              <w:t xml:space="preserve"> одноразовая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E87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D66B61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6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одноразовый, стерильный инструмент для взятия материала с поверхности слизистых оболочек. Наличие мягких эластичных щетинок на рабочей части </w:t>
            </w:r>
            <w:proofErr w:type="spellStart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t>цитощетки</w:t>
            </w:r>
            <w:proofErr w:type="spellEnd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собрать большое количество материала для различных видов исследований. </w:t>
            </w:r>
            <w:proofErr w:type="spellStart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t>Цитощетка</w:t>
            </w:r>
            <w:proofErr w:type="spellEnd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t xml:space="preserve"> удобна в применении, обеспечивает репрезентативное </w:t>
            </w:r>
            <w:proofErr w:type="spellStart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атравматичное</w:t>
            </w:r>
            <w:proofErr w:type="spellEnd"/>
            <w:r w:rsidRPr="00AA0565">
              <w:rPr>
                <w:rFonts w:ascii="Times New Roman" w:hAnsi="Times New Roman" w:cs="Times New Roman"/>
                <w:sz w:val="24"/>
                <w:szCs w:val="24"/>
              </w:rPr>
              <w:t xml:space="preserve"> взятие материала. При необходимости рабочая часть может быть согнута под любым углом по отношению к рукоятке. Это позволяет адаптировать инструмент в зависимости от анатомических особенностей зоны, с которой выполняется взятие материала. Инструмент поставляется стерильным и готовым к использованию. Показания: взятие материала для цитологических, микробиологических исследований в акушерско-гинекологической, дерматовенерологической практике. Стерилиза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– радиационная.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AA0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</w:tr>
      <w:tr w:rsidR="007A2CEE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7A2CEE" w:rsidRDefault="007A2C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CD6980">
            <w:pPr>
              <w:rPr>
                <w:rFonts w:ascii="Times New Roman" w:hAnsi="Times New Roman"/>
                <w:sz w:val="24"/>
                <w:szCs w:val="24"/>
              </w:rPr>
            </w:pPr>
            <w:r w:rsidRPr="00CD6980">
              <w:rPr>
                <w:rFonts w:ascii="Times New Roman" w:hAnsi="Times New Roman"/>
                <w:sz w:val="24"/>
                <w:szCs w:val="24"/>
              </w:rPr>
              <w:t>Шпатель одноразовый стерильный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E87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D66B61" w:rsidRDefault="00CD6980" w:rsidP="00CD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одноразовый, стерильный инструмент для взятия материала с поверхности слизистых оболочек. Наличие мягких эластичных щетинок на рабочей части </w:t>
            </w:r>
            <w:proofErr w:type="spellStart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>цитощетки</w:t>
            </w:r>
            <w:proofErr w:type="spellEnd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собрать большое количество материала для различных видов исследований. </w:t>
            </w:r>
            <w:proofErr w:type="spellStart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>Цитощетка</w:t>
            </w:r>
            <w:proofErr w:type="spellEnd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 xml:space="preserve"> удобна в применении, обеспечивает репрезентативное </w:t>
            </w:r>
            <w:proofErr w:type="spellStart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>атравматичное</w:t>
            </w:r>
            <w:proofErr w:type="spellEnd"/>
            <w:r w:rsidRPr="00CD6980">
              <w:rPr>
                <w:rFonts w:ascii="Times New Roman" w:hAnsi="Times New Roman" w:cs="Times New Roman"/>
                <w:sz w:val="24"/>
                <w:szCs w:val="24"/>
              </w:rPr>
              <w:t xml:space="preserve"> взятие материала. При необходимости рабочая часть может быть согнута под любым углом по отношению к рукоятке. Это позволяет адаптировать инструмент в зависимости от анатомических особенностей зоны, с которой выполняется взятие материала. Инструмент поставляется стерильным и готовым к использованию. Показания: взятие материала для цитологических, микробиологических исследований в акушерско-гинекологической, дерматовенерологической практике. Стерилиза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– радиационная.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CD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</w:tr>
      <w:tr w:rsidR="007A2CEE" w:rsidTr="00A8219A">
        <w:trPr>
          <w:gridAfter w:val="1"/>
          <w:wAfter w:w="576" w:type="dxa"/>
          <w:trHeight w:val="2115"/>
        </w:trPr>
        <w:tc>
          <w:tcPr>
            <w:tcW w:w="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7A2CEE" w:rsidRDefault="007A2C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034F15">
            <w:pPr>
              <w:rPr>
                <w:rFonts w:ascii="Times New Roman" w:hAnsi="Times New Roman"/>
                <w:sz w:val="24"/>
                <w:szCs w:val="24"/>
              </w:rPr>
            </w:pPr>
            <w:r w:rsidRPr="00034F15">
              <w:rPr>
                <w:rFonts w:ascii="Times New Roman" w:hAnsi="Times New Roman"/>
                <w:sz w:val="24"/>
                <w:szCs w:val="24"/>
              </w:rPr>
              <w:t>Шприц Жане одноразовый 150 мл стерильный (без винтовой нарезки)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E87">
              <w:rPr>
                <w:rFonts w:ascii="Times New Roman" w:hAnsi="Times New Roman"/>
                <w:sz w:val="24"/>
                <w:szCs w:val="24"/>
              </w:rPr>
              <w:t>или эквивалент.</w:t>
            </w:r>
          </w:p>
        </w:tc>
        <w:tc>
          <w:tcPr>
            <w:tcW w:w="470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Pr="00D66B61" w:rsidRDefault="00034F15" w:rsidP="0003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15">
              <w:rPr>
                <w:rFonts w:ascii="Times New Roman" w:hAnsi="Times New Roman" w:cs="Times New Roman"/>
                <w:sz w:val="24"/>
                <w:szCs w:val="24"/>
              </w:rPr>
              <w:t xml:space="preserve">Шприцы предназначены для отсасывания различных жидкостей из организма и промывания внутренних полостей. Шприцы по техническим характеристикам соответствуют всем требованиям. Шприцы состоят из - цилиндра, штока и поршня. На внешней стороне цилиндра нанесена шкала градуировки объема 150 мл и имеет расширенную градуировку до 160 мл. Нижняя часть цилиндра снабжена присоединительным конусом для </w:t>
            </w:r>
            <w:proofErr w:type="spellStart"/>
            <w:r w:rsidRPr="00034F15">
              <w:rPr>
                <w:rFonts w:ascii="Times New Roman" w:hAnsi="Times New Roman" w:cs="Times New Roman"/>
                <w:sz w:val="24"/>
                <w:szCs w:val="24"/>
              </w:rPr>
              <w:t>катетерной</w:t>
            </w:r>
            <w:proofErr w:type="spellEnd"/>
            <w:r w:rsidRPr="00034F15">
              <w:rPr>
                <w:rFonts w:ascii="Times New Roman" w:hAnsi="Times New Roman" w:cs="Times New Roman"/>
                <w:sz w:val="24"/>
                <w:szCs w:val="24"/>
              </w:rPr>
              <w:t xml:space="preserve"> насадки. На внутренней поверхности цилиндра, в верхней части, цилиндра имеется стопорное кольцо, препятствующее случайному выпадению штока из цилиндра. Уплотнитель поршня выполнен из специальной резины и имеет два кольца контакта с внутренней поверхностью цилиндра, что исключает протекание и обеспечивает плавное скольжение поршня внутри цилиндра. Детали шприцев изготовлены из следующих материалов: цилиндр - из полипропилена, шток - из полиэтилена низкого давления, поршень из специальной резины. На цилиндре имеется маркировка - изделие не содержит латекса. Индивидуальная потребительская упаковка герметично заварена. Шприцы стерильны, </w:t>
            </w:r>
            <w:proofErr w:type="spellStart"/>
            <w:r w:rsidRPr="00034F15">
              <w:rPr>
                <w:rFonts w:ascii="Times New Roman" w:hAnsi="Times New Roman" w:cs="Times New Roman"/>
                <w:sz w:val="24"/>
                <w:szCs w:val="24"/>
              </w:rPr>
              <w:t>апирогенны</w:t>
            </w:r>
            <w:proofErr w:type="spellEnd"/>
            <w:r w:rsidRPr="00034F15">
              <w:rPr>
                <w:rFonts w:ascii="Times New Roman" w:hAnsi="Times New Roman" w:cs="Times New Roman"/>
                <w:sz w:val="24"/>
                <w:szCs w:val="24"/>
              </w:rPr>
              <w:t>, нетоксичны. Стерилизация шприцев газовая - оксидом этилена. Средний срок годности шпри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 не менее 5 лет.</w:t>
            </w:r>
          </w:p>
        </w:tc>
        <w:tc>
          <w:tcPr>
            <w:tcW w:w="75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1A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034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  <w:tc>
          <w:tcPr>
            <w:tcW w:w="15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2CEE" w:rsidRDefault="007A2CEE"/>
        </w:tc>
      </w:tr>
      <w:tr w:rsidR="00D36C4C" w:rsidTr="00A8219A">
        <w:trPr>
          <w:gridAfter w:val="1"/>
          <w:wAfter w:w="576" w:type="dxa"/>
          <w:trHeight w:val="705"/>
        </w:trPr>
        <w:tc>
          <w:tcPr>
            <w:tcW w:w="11090" w:type="dxa"/>
            <w:gridSpan w:val="6"/>
            <w:shd w:val="clear" w:color="FFFFFF" w:fill="auto"/>
            <w:vAlign w:val="bottom"/>
          </w:tcPr>
          <w:p w:rsidR="002A585E" w:rsidRDefault="002A585E"/>
          <w:p w:rsidR="002A585E" w:rsidRDefault="002A585E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trHeight w:val="375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по 20.12.2018г., по потребности Заказчика в соответствии с заявкой.</w:t>
            </w:r>
          </w:p>
        </w:tc>
      </w:tr>
      <w:tr w:rsidR="00D36C4C" w:rsidTr="00A8219A">
        <w:trPr>
          <w:gridAfter w:val="1"/>
          <w:wAfter w:w="576" w:type="dxa"/>
          <w:trHeight w:val="375"/>
        </w:trPr>
        <w:tc>
          <w:tcPr>
            <w:tcW w:w="11090" w:type="dxa"/>
            <w:gridSpan w:val="6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доставки, разгрузки до КГБУЗ «Краевая клиническая больница» г.</w:t>
            </w:r>
            <w:r w:rsidR="00DA19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Красноярск.</w:t>
            </w:r>
          </w:p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355"/>
        </w:trPr>
        <w:tc>
          <w:tcPr>
            <w:tcW w:w="14420" w:type="dxa"/>
            <w:gridSpan w:val="8"/>
            <w:vMerge w:val="restart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или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D36C4C" w:rsidTr="00A8219A">
        <w:trPr>
          <w:gridAfter w:val="1"/>
          <w:wAfter w:w="576" w:type="dxa"/>
          <w:trHeight w:val="350"/>
        </w:trPr>
        <w:tc>
          <w:tcPr>
            <w:tcW w:w="14420" w:type="dxa"/>
            <w:gridSpan w:val="8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220-16-04.</w:t>
            </w:r>
          </w:p>
        </w:tc>
      </w:tr>
      <w:tr w:rsidR="00D36C4C" w:rsidTr="00A8219A">
        <w:trPr>
          <w:trHeight w:val="375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течение 5 календарных дней.</w:t>
            </w:r>
          </w:p>
        </w:tc>
      </w:tr>
      <w:tr w:rsidR="00D36C4C" w:rsidTr="00A8219A">
        <w:trPr>
          <w:gridAfter w:val="1"/>
          <w:wAfter w:w="576" w:type="dxa"/>
          <w:trHeight w:val="225"/>
        </w:trPr>
        <w:tc>
          <w:tcPr>
            <w:tcW w:w="356" w:type="dxa"/>
            <w:shd w:val="clear" w:color="FFFFFF" w:fill="auto"/>
            <w:vAlign w:val="bottom"/>
          </w:tcPr>
          <w:p w:rsidR="00D36C4C" w:rsidRDefault="00D36C4C"/>
        </w:tc>
        <w:tc>
          <w:tcPr>
            <w:tcW w:w="2855" w:type="dxa"/>
            <w:shd w:val="clear" w:color="FFFFFF" w:fill="auto"/>
            <w:vAlign w:val="bottom"/>
          </w:tcPr>
          <w:p w:rsidR="00D36C4C" w:rsidRDefault="00D36C4C"/>
        </w:tc>
        <w:tc>
          <w:tcPr>
            <w:tcW w:w="4706" w:type="dxa"/>
            <w:shd w:val="clear" w:color="FFFFFF" w:fill="auto"/>
            <w:vAlign w:val="bottom"/>
          </w:tcPr>
          <w:p w:rsidR="00D36C4C" w:rsidRDefault="00D36C4C"/>
        </w:tc>
        <w:tc>
          <w:tcPr>
            <w:tcW w:w="758" w:type="dxa"/>
            <w:shd w:val="clear" w:color="FFFFFF" w:fill="auto"/>
            <w:vAlign w:val="bottom"/>
          </w:tcPr>
          <w:p w:rsidR="00D36C4C" w:rsidRDefault="00D36C4C"/>
        </w:tc>
        <w:tc>
          <w:tcPr>
            <w:tcW w:w="1139" w:type="dxa"/>
            <w:shd w:val="clear" w:color="FFFFFF" w:fill="auto"/>
            <w:vAlign w:val="bottom"/>
          </w:tcPr>
          <w:p w:rsidR="00D36C4C" w:rsidRDefault="00D36C4C"/>
        </w:tc>
        <w:tc>
          <w:tcPr>
            <w:tcW w:w="1276" w:type="dxa"/>
            <w:shd w:val="clear" w:color="FFFFFF" w:fill="auto"/>
            <w:vAlign w:val="bottom"/>
          </w:tcPr>
          <w:p w:rsidR="00D36C4C" w:rsidRDefault="00D36C4C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225"/>
        </w:trPr>
        <w:tc>
          <w:tcPr>
            <w:tcW w:w="356" w:type="dxa"/>
            <w:shd w:val="clear" w:color="FFFFFF" w:fill="auto"/>
            <w:vAlign w:val="bottom"/>
          </w:tcPr>
          <w:p w:rsidR="00D36C4C" w:rsidRDefault="00D36C4C"/>
        </w:tc>
        <w:tc>
          <w:tcPr>
            <w:tcW w:w="2855" w:type="dxa"/>
            <w:shd w:val="clear" w:color="FFFFFF" w:fill="auto"/>
            <w:vAlign w:val="bottom"/>
          </w:tcPr>
          <w:p w:rsidR="00D36C4C" w:rsidRDefault="00D36C4C"/>
        </w:tc>
        <w:tc>
          <w:tcPr>
            <w:tcW w:w="4706" w:type="dxa"/>
            <w:shd w:val="clear" w:color="FFFFFF" w:fill="auto"/>
            <w:vAlign w:val="bottom"/>
          </w:tcPr>
          <w:p w:rsidR="00D36C4C" w:rsidRDefault="00D36C4C"/>
        </w:tc>
        <w:tc>
          <w:tcPr>
            <w:tcW w:w="758" w:type="dxa"/>
            <w:shd w:val="clear" w:color="FFFFFF" w:fill="auto"/>
            <w:vAlign w:val="bottom"/>
          </w:tcPr>
          <w:p w:rsidR="00D36C4C" w:rsidRDefault="00D36C4C"/>
        </w:tc>
        <w:tc>
          <w:tcPr>
            <w:tcW w:w="1139" w:type="dxa"/>
            <w:shd w:val="clear" w:color="FFFFFF" w:fill="auto"/>
            <w:vAlign w:val="bottom"/>
          </w:tcPr>
          <w:p w:rsidR="00D36C4C" w:rsidRDefault="00D36C4C"/>
        </w:tc>
        <w:tc>
          <w:tcPr>
            <w:tcW w:w="1276" w:type="dxa"/>
            <w:shd w:val="clear" w:color="FFFFFF" w:fill="auto"/>
            <w:vAlign w:val="bottom"/>
          </w:tcPr>
          <w:p w:rsidR="00D36C4C" w:rsidRDefault="00D36C4C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gridAfter w:val="1"/>
          <w:wAfter w:w="576" w:type="dxa"/>
          <w:trHeight w:val="225"/>
        </w:trPr>
        <w:tc>
          <w:tcPr>
            <w:tcW w:w="356" w:type="dxa"/>
            <w:shd w:val="clear" w:color="FFFFFF" w:fill="auto"/>
            <w:vAlign w:val="bottom"/>
          </w:tcPr>
          <w:p w:rsidR="00D36C4C" w:rsidRDefault="00D36C4C"/>
        </w:tc>
        <w:tc>
          <w:tcPr>
            <w:tcW w:w="2855" w:type="dxa"/>
            <w:shd w:val="clear" w:color="FFFFFF" w:fill="auto"/>
            <w:vAlign w:val="bottom"/>
          </w:tcPr>
          <w:p w:rsidR="00D36C4C" w:rsidRDefault="00D36C4C"/>
        </w:tc>
        <w:tc>
          <w:tcPr>
            <w:tcW w:w="4706" w:type="dxa"/>
            <w:shd w:val="clear" w:color="FFFFFF" w:fill="auto"/>
            <w:vAlign w:val="bottom"/>
          </w:tcPr>
          <w:p w:rsidR="00D36C4C" w:rsidRDefault="00D36C4C"/>
        </w:tc>
        <w:tc>
          <w:tcPr>
            <w:tcW w:w="758" w:type="dxa"/>
            <w:shd w:val="clear" w:color="FFFFFF" w:fill="auto"/>
            <w:vAlign w:val="bottom"/>
          </w:tcPr>
          <w:p w:rsidR="00D36C4C" w:rsidRDefault="00D36C4C"/>
        </w:tc>
        <w:tc>
          <w:tcPr>
            <w:tcW w:w="1139" w:type="dxa"/>
            <w:shd w:val="clear" w:color="FFFFFF" w:fill="auto"/>
            <w:vAlign w:val="bottom"/>
          </w:tcPr>
          <w:p w:rsidR="00D36C4C" w:rsidRDefault="00D36C4C"/>
        </w:tc>
        <w:tc>
          <w:tcPr>
            <w:tcW w:w="1276" w:type="dxa"/>
            <w:shd w:val="clear" w:color="FFFFFF" w:fill="auto"/>
            <w:vAlign w:val="bottom"/>
          </w:tcPr>
          <w:p w:rsidR="00D36C4C" w:rsidRDefault="00D36C4C"/>
        </w:tc>
        <w:tc>
          <w:tcPr>
            <w:tcW w:w="1752" w:type="dxa"/>
            <w:shd w:val="clear" w:color="FFFFFF" w:fill="auto"/>
            <w:vAlign w:val="bottom"/>
          </w:tcPr>
          <w:p w:rsidR="00D36C4C" w:rsidRDefault="00D36C4C"/>
        </w:tc>
        <w:tc>
          <w:tcPr>
            <w:tcW w:w="1578" w:type="dxa"/>
            <w:shd w:val="clear" w:color="FFFFFF" w:fill="auto"/>
            <w:vAlign w:val="bottom"/>
          </w:tcPr>
          <w:p w:rsidR="00D36C4C" w:rsidRDefault="00D36C4C"/>
        </w:tc>
      </w:tr>
      <w:tr w:rsidR="00D36C4C" w:rsidTr="00A8219A">
        <w:trPr>
          <w:trHeight w:val="375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                                                                                                                 </w:t>
            </w:r>
            <w:r w:rsidR="00A8219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Куликова</w:t>
            </w:r>
          </w:p>
        </w:tc>
      </w:tr>
      <w:tr w:rsidR="00D36C4C" w:rsidTr="00A8219A">
        <w:trPr>
          <w:trHeight w:val="300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8C4B74" w:rsidRDefault="008C4B74">
            <w:pPr>
              <w:rPr>
                <w:rFonts w:ascii="Times New Roman" w:hAnsi="Times New Roman"/>
                <w:sz w:val="22"/>
              </w:rPr>
            </w:pPr>
          </w:p>
          <w:p w:rsidR="00A8219A" w:rsidRDefault="00A8219A">
            <w:pPr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  <w:p w:rsidR="00D36C4C" w:rsidRDefault="00782B5A">
            <w:r>
              <w:rPr>
                <w:rFonts w:ascii="Times New Roman" w:hAnsi="Times New Roman"/>
                <w:sz w:val="22"/>
              </w:rPr>
              <w:t>Исполнитель:</w:t>
            </w:r>
          </w:p>
        </w:tc>
      </w:tr>
      <w:tr w:rsidR="00D36C4C" w:rsidTr="00A8219A">
        <w:trPr>
          <w:trHeight w:val="300"/>
        </w:trPr>
        <w:tc>
          <w:tcPr>
            <w:tcW w:w="14996" w:type="dxa"/>
            <w:gridSpan w:val="9"/>
            <w:shd w:val="clear" w:color="FFFFFF" w:fill="auto"/>
            <w:vAlign w:val="bottom"/>
          </w:tcPr>
          <w:p w:rsidR="00D36C4C" w:rsidRDefault="00782B5A">
            <w:r>
              <w:rPr>
                <w:rFonts w:ascii="Times New Roman" w:hAnsi="Times New Roman"/>
                <w:sz w:val="22"/>
              </w:rPr>
              <w:t>Санникова Елена Владимировна, тел. 220-16-04</w:t>
            </w:r>
          </w:p>
        </w:tc>
      </w:tr>
    </w:tbl>
    <w:p w:rsidR="004A7DF7" w:rsidRDefault="004A7DF7"/>
    <w:sectPr w:rsidR="004A7DF7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C4C"/>
    <w:rsid w:val="00034F15"/>
    <w:rsid w:val="0008577C"/>
    <w:rsid w:val="00085E5B"/>
    <w:rsid w:val="000D5165"/>
    <w:rsid w:val="001A2DC8"/>
    <w:rsid w:val="001C1794"/>
    <w:rsid w:val="00211713"/>
    <w:rsid w:val="002431AA"/>
    <w:rsid w:val="00291B84"/>
    <w:rsid w:val="002A585E"/>
    <w:rsid w:val="00312F64"/>
    <w:rsid w:val="0039328B"/>
    <w:rsid w:val="003B6ACE"/>
    <w:rsid w:val="003D5D4C"/>
    <w:rsid w:val="00416999"/>
    <w:rsid w:val="0045777F"/>
    <w:rsid w:val="00497F2C"/>
    <w:rsid w:val="004A7DF7"/>
    <w:rsid w:val="0058307F"/>
    <w:rsid w:val="00654199"/>
    <w:rsid w:val="006C51C2"/>
    <w:rsid w:val="00723E87"/>
    <w:rsid w:val="00761C39"/>
    <w:rsid w:val="00775C5E"/>
    <w:rsid w:val="00782B5A"/>
    <w:rsid w:val="0079723A"/>
    <w:rsid w:val="007A2CEE"/>
    <w:rsid w:val="007B0CB9"/>
    <w:rsid w:val="00801707"/>
    <w:rsid w:val="00806500"/>
    <w:rsid w:val="0085553B"/>
    <w:rsid w:val="008800F7"/>
    <w:rsid w:val="00894FDA"/>
    <w:rsid w:val="008B3CCC"/>
    <w:rsid w:val="008B5162"/>
    <w:rsid w:val="008C4B74"/>
    <w:rsid w:val="008E0525"/>
    <w:rsid w:val="009E6DD0"/>
    <w:rsid w:val="00A2346F"/>
    <w:rsid w:val="00A8219A"/>
    <w:rsid w:val="00AA0565"/>
    <w:rsid w:val="00B94ED1"/>
    <w:rsid w:val="00BA3F6C"/>
    <w:rsid w:val="00BE14CE"/>
    <w:rsid w:val="00BE3FBF"/>
    <w:rsid w:val="00BE42A9"/>
    <w:rsid w:val="00C457B3"/>
    <w:rsid w:val="00C547B1"/>
    <w:rsid w:val="00C96E4B"/>
    <w:rsid w:val="00CA3872"/>
    <w:rsid w:val="00CC7946"/>
    <w:rsid w:val="00CD6980"/>
    <w:rsid w:val="00D36C4C"/>
    <w:rsid w:val="00D66B61"/>
    <w:rsid w:val="00DA19F3"/>
    <w:rsid w:val="00DE1223"/>
    <w:rsid w:val="00DF57AB"/>
    <w:rsid w:val="00EB4DF0"/>
    <w:rsid w:val="00F54CD2"/>
    <w:rsid w:val="00F813E1"/>
    <w:rsid w:val="00FB651D"/>
    <w:rsid w:val="00F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72C29-A550-4DC1-80B8-C222531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9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2236</Words>
  <Characters>12749</Characters>
  <Application>Microsoft Office Word</Application>
  <DocSecurity>0</DocSecurity>
  <Lines>106</Lines>
  <Paragraphs>29</Paragraphs>
  <ScaleCrop>false</ScaleCrop>
  <Company/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Санникова Елена Владимировна</cp:lastModifiedBy>
  <cp:revision>61</cp:revision>
  <cp:lastPrinted>2017-11-07T07:39:00Z</cp:lastPrinted>
  <dcterms:created xsi:type="dcterms:W3CDTF">2017-11-01T09:32:00Z</dcterms:created>
  <dcterms:modified xsi:type="dcterms:W3CDTF">2017-11-07T09:22:00Z</dcterms:modified>
</cp:coreProperties>
</file>