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905"/>
        <w:gridCol w:w="2405"/>
        <w:gridCol w:w="674"/>
        <w:gridCol w:w="839"/>
        <w:gridCol w:w="1045"/>
        <w:gridCol w:w="1819"/>
        <w:gridCol w:w="1545"/>
      </w:tblGrid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RPr="00F55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Pr="00F516F4" w:rsidRDefault="00F516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szCs w:val="16"/>
                <w:lang w:val="en-US"/>
              </w:rPr>
            </w:pPr>
          </w:p>
        </w:tc>
      </w:tr>
      <w:tr w:rsidR="002C4E30" w:rsidRPr="00F55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Pr="00F516F4" w:rsidRDefault="00F516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szCs w:val="16"/>
                <w:lang w:val="en-US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51C8" w:rsidP="00F55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F516F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516F4">
              <w:rPr>
                <w:rFonts w:ascii="Times New Roman" w:hAnsi="Times New Roman"/>
                <w:sz w:val="24"/>
                <w:szCs w:val="24"/>
              </w:rPr>
              <w:t>.2020 г. №9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  <w:r w:rsidR="00F516F4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2C4E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C4E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-Актив для определения глюкозы капиллярной крови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 w:rsidP="00F551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F551C8">
              <w:rPr>
                <w:rFonts w:ascii="Times New Roman" w:hAnsi="Times New Roman"/>
                <w:sz w:val="28"/>
                <w:szCs w:val="28"/>
              </w:rPr>
              <w:t xml:space="preserve">поставки: 1 позиция - не более </w:t>
            </w:r>
            <w:r w:rsidR="00F551C8" w:rsidRPr="00F551C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 2 позиция в течение 30 дней</w:t>
            </w:r>
          </w:p>
        </w:tc>
      </w:tr>
      <w:tr w:rsidR="002C4E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C4E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4E3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 w:rsidP="00F551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F551C8" w:rsidRPr="00F551C8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9909B2" w:rsidRDefault="009909B2"/>
    <w:sectPr w:rsidR="009909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30"/>
    <w:rsid w:val="002C4E30"/>
    <w:rsid w:val="00646210"/>
    <w:rsid w:val="009909B2"/>
    <w:rsid w:val="00F516F4"/>
    <w:rsid w:val="00F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D3109-24F9-4150-AFF6-7E03EAC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2020-11-18T08:01:00Z</dcterms:created>
  <dcterms:modified xsi:type="dcterms:W3CDTF">2020-11-18T08:01:00Z</dcterms:modified>
</cp:coreProperties>
</file>