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Look w:val="04A0"/>
      </w:tblPr>
      <w:tblGrid>
        <w:gridCol w:w="945"/>
        <w:gridCol w:w="2533"/>
        <w:gridCol w:w="3321"/>
        <w:gridCol w:w="1116"/>
        <w:gridCol w:w="1286"/>
        <w:gridCol w:w="1470"/>
        <w:gridCol w:w="2087"/>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Http://www.kkb1. krasu.ru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______________ 2 020 г. №.__________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Прошу Вас предоставить коммерческое предложение на право поставки следующего товара:</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Остаточный срок годности</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Картридж (Кассета с титановыми фиксаторами для герниостеплера)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Длина кассеты, мм 54.  Диаметр, мм 5. Картридж изготовлен из полиэтилена. Фиксаторы изготовлены из титана. Количество фиксаторов в кассете, шт 8. Двухзаходные фиксаторы в виде штопора. Предназначены для работы с герниостеплером «ППП».</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картридж</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Сетка для паховой герниопластики, правая, 10 х 15 см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Хирургический самораскрывающийся эндопротез из облегченной полипропиленовой сетки для герниопластики правой паховой области лапароскопическим доступом. Имеет анатомическую трехмерную форму: эллипс с латеральным и медиальным краями, по нижнему краю имеется вырезка для правильного позиционирования над сосудами; париетальная сторона протеза выпуклая с углублением для паховой связки. На медиальной стороне имеется ориентирующая маркировка. Материал протеза: монофиламентная полипропиленовая нить, диаметр сечения не более 0,12 мм, толщина сетки не более 0,44 см, средний размер пор не более 6,2 кв. мм, пористость не менее 85,3%, удельный вес не более 44 г/кв.м. Размер не менее 10 х 15 см. Поставляется стерильной, в упаковке.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Сетка для паховой герниопластики, левая, 10 х 15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Хирургический самораскрывающийся герниопротез из облегченной полипропиленовой сетки для эндоскопической пластики левой паховой области. Имеет анатомическую трехмерную форму: эллипс с латеральным и медиальным краями, по нижнему краю имеется вырезка для правильного позиционирования над сосудами; париетальная сторона протеза выпуклая с углублением для паховой связки. На медиальной стороне имеется маркировка для правильного позиционирования протеза в брюшной полости. Материал: монофиламентная полипропиленовая нить, диаметр сечения не более 0,12 мм, толщина протеза не более 0,44 мм, средний размер пор не менее 6,2 кв. мм, пористость сетки не менее 85,3%, удельный вес не более 44 г/кв.м. Размер не менее 10 х 15 см. Поставляется стерильной в упаковке.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Сетка для герниопластики монофиламентная облегченная 30 x 30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Сетка хирургическая облегченная для использования при пластике мягких тканей. Изготовлена из монофиламентной полипропиленовой нити, диаметром сечения не более 0,12мм, толщина имплантата не более 0,44 мм. Средний размер пор не менее 6.2мм², пористость сетки не менее 85,3%, удельный вес не более 44 г/м². Наличие дополнительной нити поперечного плетения для армирующего эффекта в целях уменьшения сморщивания. Герниопротез обладает многонаправленной эластичностью, по направлению плетения не менее 60%, в поперечном направлении не менее 49%. Прочность на разрыв сетчатого имплантата по направлению плетения не менее 36,5Н, в поперечном направлении не менее 29,5Н.  Размер сетки 30,5 см х 30,5 см, с возможностью механической резки. Поставляется стерильной, 1 штука в упаковке.</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Срок поставки: не более 30 календарных дней с момента заключения государственного контракта.</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Предложения принимаются в срок до 07.02.2020 17:00:00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тел.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