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197"/>
        <w:gridCol w:w="2674"/>
        <w:gridCol w:w="668"/>
        <w:gridCol w:w="708"/>
        <w:gridCol w:w="921"/>
        <w:gridCol w:w="1741"/>
        <w:gridCol w:w="1440"/>
      </w:tblGrid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RPr="00E62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Pr="00E62678" w:rsidRDefault="00E626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szCs w:val="16"/>
                <w:lang w:val="en-US"/>
              </w:rPr>
            </w:pPr>
          </w:p>
        </w:tc>
      </w:tr>
      <w:tr w:rsidR="00ED2757" w:rsidRPr="00E62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Pr="00E62678" w:rsidRDefault="00E626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szCs w:val="16"/>
                <w:lang w:val="en-US"/>
              </w:rPr>
            </w:pP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 w:rsidP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№.988-2020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выявления иммуноглобулинов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 М к SARS-Cov-2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иммуноглобулинов M в сыворотке (плазме) крови человека в сыворотке крови человека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ИФА.Выявление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иммуноглобулинов M в сыворотке (плазме) крови человека в сыворотке крови человека методом ИФА ""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capture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"".Максимально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озможное количество исследованных набором независимых пациентов не менее 93.Имеется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100.Минимальное время проведения исследования (сумма всех времен инкубации) не более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мин.Готовые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(крышки)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заклеивания (закрывания) планшета, ванночек для реагентов, наконечни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образцов.Имеется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SARS-Cov-2.Взаимозаменяемость неспецифических реагентов (промывочный раствор, стоп-реагент, раствор ТМБ) для других ИФА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-наборов лота. Код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КТРУ:нет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D2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D2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выявления иммуноглобулинов класса G к SARS-Cov-2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иммуноглобулинов G в сыворотке (плазме) крови человека в сыворотке крови человека методом ИФА. Максимально </w:t>
            </w:r>
            <w:r>
              <w:rPr>
                <w:rFonts w:ascii="Times New Roman" w:hAnsi="Times New Roman"/>
                <w:sz w:val="24"/>
                <w:szCs w:val="24"/>
              </w:rPr>
              <w:t>возможное количество исследованных набором независимых пациентов не менее 93.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100.Минимальное время проведения исследования (сумма всех времен инкубации)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мин.Готовые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(крышки) для заклеивания (закрывания) планшета, ванночек для реагентов, наконечников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образцов и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Возможность определения титра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антител.Возможность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годности.Обладает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взаимозаменяемостью неспецифических реагентов (промывочный раств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ор, стоп-реагент, раствор ТМБ) для других ИФА-наборов лота. Код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КТРУ:нет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D2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D2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 w:rsidP="00E626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купок, тел. 220-16-04</w:t>
            </w: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 w:rsidP="00E626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</w:t>
            </w:r>
            <w:r>
              <w:rPr>
                <w:rFonts w:ascii="Times New Roman" w:hAnsi="Times New Roman"/>
                <w:sz w:val="28"/>
                <w:szCs w:val="28"/>
              </w:rPr>
              <w:t>.11.2020 17:00:00 по местному времени.</w:t>
            </w: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D2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  <w:tr w:rsidR="00E62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2678" w:rsidRDefault="00E626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E6267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2757"/>
    <w:rsid w:val="00E62678"/>
    <w:rsid w:val="00E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64C28-78BA-4AE6-BE43-A4303063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2020-11-17T03:20:00Z</dcterms:created>
  <dcterms:modified xsi:type="dcterms:W3CDTF">2020-11-17T03:21:00Z</dcterms:modified>
</cp:coreProperties>
</file>