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93F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 w:rsidRPr="004972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Pr="00497204" w:rsidRDefault="00497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72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9720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Pr="00497204" w:rsidRDefault="00A93F3A">
            <w:pPr>
              <w:rPr>
                <w:szCs w:val="16"/>
                <w:lang w:val="en-US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 w:rsidP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924-2022</w:t>
            </w:r>
            <w:r>
              <w:rPr>
                <w:rFonts w:ascii="Times New Roman" w:hAnsi="Times New Roman"/>
                <w:sz w:val="24"/>
                <w:szCs w:val="24"/>
              </w:rPr>
              <w:t>. №.924-2022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F3A" w:rsidRDefault="00497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Нейромонитор интраоперационный с принадлежностями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измере-ния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Назначение, область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Выполнение интраоперационных нейрофизиологических исследований, направленных на локализацию, оценку и мо-ниторинг функции моторных периферических нервов, в том числе блуждающего нерва и его ветвей при выполнении хи-рургических вмешательств н</w:t>
            </w:r>
            <w:r>
              <w:rPr>
                <w:rFonts w:ascii="Times New Roman" w:hAnsi="Times New Roman"/>
                <w:sz w:val="24"/>
                <w:szCs w:val="24"/>
              </w:rPr>
              <w:t>а щитовидной железе, лицевого нерва при операциях на околоушной слюнной железе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Выполнение интраоперационных нейрофизиологических исследований, направленных на локализацию, оценку и мо-ниторинг функции моторных корешков спинного мозга и перифери</w:t>
            </w:r>
            <w:r>
              <w:rPr>
                <w:rFonts w:ascii="Times New Roman" w:hAnsi="Times New Roman"/>
                <w:sz w:val="24"/>
                <w:szCs w:val="24"/>
              </w:rPr>
              <w:t>ческих нервов, в том числе блуждающего нерва и его ветвей при выполнении хирургических вмешательств на щитовидной железе, лицевого нерва при операциях на око-лоушной слюнной железе, спинальных корешков при вы-полнении селективной дорзальной ризотомии или у</w:t>
            </w:r>
            <w:r>
              <w:rPr>
                <w:rFonts w:ascii="Times New Roman" w:hAnsi="Times New Roman"/>
                <w:sz w:val="24"/>
                <w:szCs w:val="24"/>
              </w:rPr>
              <w:t>становке транспедикулярных имплантатов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Требования к выполняемым функциям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Хирург-ориентированный нейромонитор, позволяющий вы-полнять интраоперационные ЭМГ-тесты без поддержки нейрофизиолога с использованием готовых автоматизиро-ванных сцена</w:t>
            </w:r>
            <w:r>
              <w:rPr>
                <w:rFonts w:ascii="Times New Roman" w:hAnsi="Times New Roman"/>
                <w:sz w:val="24"/>
                <w:szCs w:val="24"/>
              </w:rPr>
              <w:t>риев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Интраоперационная электрическая стимуляция перифериче-ских нервов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Интраоперационная электрическая стимуляция корешков спинного мозга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 Интраоперационная регистрация спонтанной мышечной ак-тивности (спонтанная ЭМГ)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Интраоперационная регистрация вызванной мышечной ак-тивности (триггерная ЭМГ)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Автоматическое определение пиков стимуляционной ЭМГ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Автоматический анализ латентности стимуляционных ЭМГ-ответов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Автоматические анализ амплитуды стимуляционных ЭМГ-ответов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Автоматический анализ тренда ЭМГ-сигнала при использо-вании продолжительной тестовой электростимуляции нерва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   Возможность одновременного подключения двух электро</w:t>
            </w:r>
            <w:r>
              <w:rPr>
                <w:rFonts w:ascii="Times New Roman" w:hAnsi="Times New Roman"/>
                <w:sz w:val="24"/>
                <w:szCs w:val="24"/>
              </w:rPr>
              <w:t>дов для стимуляции и подача на них тока с разными показателя-ми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Параметры стимулятора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   Тип стимула - постоянным током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Монополярный режим стимуляции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3.1.3   Прямоугольная форма импульс</w:t>
            </w:r>
            <w:r>
              <w:rPr>
                <w:rFonts w:ascii="Times New Roman" w:hAnsi="Times New Roman"/>
                <w:sz w:val="24"/>
                <w:szCs w:val="24"/>
              </w:rPr>
              <w:t>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3.1.4   Режим прямой стимуляции нервов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3.1.6   Режим длительной электростимуляции периферических не-рвов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3.1.7   Количество встроенных независимых стимуляторов  не менее 2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3.1.8   Амплитуда импульса при стимуляции током</w:t>
            </w:r>
            <w:r>
              <w:rPr>
                <w:rFonts w:ascii="Times New Roman" w:hAnsi="Times New Roman"/>
                <w:sz w:val="24"/>
                <w:szCs w:val="24"/>
              </w:rPr>
              <w:t>, минимум    не более 0,5   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3.1.9   Амплитуда импульса при стимуляции током, максимум   не более 30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3.1.10  Ограничение выходного напряжения при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током   не более 100   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3.1.11  Частота стимуляции одиночными импульсами, минимум   не боле</w:t>
            </w:r>
            <w:r>
              <w:rPr>
                <w:rFonts w:ascii="Times New Roman" w:hAnsi="Times New Roman"/>
                <w:sz w:val="24"/>
                <w:szCs w:val="24"/>
              </w:rPr>
              <w:t>е 1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3.1.12  Частота стимуляции одиночными импульсами, максимум  не более 100 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3.1.16  Значение импеданса нагрузки, максимум   не более 10 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3.1.17  Длительность импульса   не менее 50 мкс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3.1.18  Постоянный контроль электрического контакта в цеп</w:t>
            </w:r>
            <w:r>
              <w:rPr>
                <w:rFonts w:ascii="Times New Roman" w:hAnsi="Times New Roman"/>
                <w:sz w:val="24"/>
                <w:szCs w:val="24"/>
              </w:rPr>
              <w:t>и сти-муляции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3.1.19  Раздельная регулировка силы тока для каждого стимулятора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Параметры усилителя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Регистрация сигнала в модальности спонтанной ЭМГ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Регистрация сигнала в модальности триггерной ЭМГ 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Количество каналов  не менее 8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3.2.4   Полоса пропускания, нижняя граница  не более 15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3.2.5   Полоса пропускания, верхняя граница     не менее 1850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3.2.6   Диапазон измеряемого напряжения, нижняя граница не более 1 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3.2.7   Диап</w:t>
            </w:r>
            <w:r>
              <w:rPr>
                <w:rFonts w:ascii="Times New Roman" w:hAnsi="Times New Roman"/>
                <w:sz w:val="24"/>
                <w:szCs w:val="24"/>
              </w:rPr>
              <w:t>азон измеряемого напряжения, верхняя граница    не менее 100   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3.2.8   Входное сопротивление   не менее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3.2.9   Уровень шумов, приведенных ко входу не более 5  мкВ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Параметры конструкции, функций, интерфейса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   Моноблочный вариант исполн</w:t>
            </w:r>
            <w:r>
              <w:rPr>
                <w:rFonts w:ascii="Times New Roman" w:hAnsi="Times New Roman"/>
                <w:sz w:val="24"/>
                <w:szCs w:val="24"/>
              </w:rPr>
              <w:t>ения базового блока, объеди-няющий модули усилителя, стимулятора и блока управления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   Хирург-ориентированные органы управления - мембранные кнопки или сенсорный экран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   Хирург-ориентированный способ управления стимуляторами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поворотных рукояток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3.3.4   Хирург-ориентированный способ управления системой зву-ковой индикации при помощи рукоятки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3.3.5   Интерфейс USB   не менее 3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3.3.6   Тип дисплея: цветной ЖК монитор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3.3.7   Отображени</w:t>
            </w:r>
            <w:r>
              <w:rPr>
                <w:rFonts w:ascii="Times New Roman" w:hAnsi="Times New Roman"/>
                <w:sz w:val="24"/>
                <w:szCs w:val="24"/>
              </w:rPr>
              <w:t>е ЭМГ-сигнала на дисплее в виде кривых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3.3.8   Масштабируемая шкала амплитуды для режима измерения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3.3.9   Масштабируемая шкала времени для режима измерения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3.3.10  Отображение динамики тренда амплитуды ответов стимуля-ционной </w:t>
            </w:r>
            <w:r>
              <w:rPr>
                <w:rFonts w:ascii="Times New Roman" w:hAnsi="Times New Roman"/>
                <w:sz w:val="24"/>
                <w:szCs w:val="24"/>
              </w:rPr>
              <w:t>ЭМГ в соответствующем сценарии исследования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3.3.11  Отображение динамики тренда латентности ответов стиму-ляционной ЭМГ в соответствующем сценарии 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3.3.12  Хранение базы данных пациентов и результатов исследова-ний на энергоне</w:t>
            </w:r>
            <w:r>
              <w:rPr>
                <w:rFonts w:ascii="Times New Roman" w:hAnsi="Times New Roman"/>
                <w:sz w:val="24"/>
                <w:szCs w:val="24"/>
              </w:rPr>
              <w:t>зависимом накопителе данных, позволяю-щем хранить информацию после отключения питания аппа-рата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3.3.13  Возможность дополнения записей в базе данных для повтор-но оперируемых пациентов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3.3.14  Автоматическая запись результатов стимуляц</w:t>
            </w:r>
            <w:r>
              <w:rPr>
                <w:rFonts w:ascii="Times New Roman" w:hAnsi="Times New Roman"/>
                <w:sz w:val="24"/>
                <w:szCs w:val="24"/>
              </w:rPr>
              <w:t>ионных проб пациента с возможностью последующей обработки и анализа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3.3.15  Возможность занесения отдельных результатов ЭМГ-исследований в протокол операции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3.3.16  Возможность экспорта протокола операции на сменный USB-накопитель 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3.3.17  Возможность экспорта протокола операции при помощи ЛВС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3.3.18  Возможность печати протокола операции при помощи под-ключенного USB-принтера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3.3.19  Возможность начала мониторинга после загрузки нейромо-нитора и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периферийных элементов без выпол-нения калибровок или иных предварительных процедур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3.3.20  Возможность отведения ЭМГ-ответа с голосовых мышц при помощи специальных игольчатых электродов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3.3.21  Возможность отведения ЭМГ-ответа с голосов</w:t>
            </w:r>
            <w:r>
              <w:rPr>
                <w:rFonts w:ascii="Times New Roman" w:hAnsi="Times New Roman"/>
                <w:sz w:val="24"/>
                <w:szCs w:val="24"/>
              </w:rPr>
              <w:t>ых мышц при помощи самоклеящегося электрода, подходящего к дыха-тельным трубкам любого производителя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3.3.22  Возможность отведения ЭМГ-ответа с голосовых мышц при помощи электрода, интегрированного в оригинальную дыха-тельную трубку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Подключение игольчатых электродов, отводящих ЭМГ-сигнал, к базовому блоку при помощи специального ЭМГ-адаптера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3.3.24  Заводские программы-сценарии, позволяющие проводить исследования с рекомендуемыми настройками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3.3.25  Заводской пред</w:t>
            </w:r>
            <w:r>
              <w:rPr>
                <w:rFonts w:ascii="Times New Roman" w:hAnsi="Times New Roman"/>
                <w:sz w:val="24"/>
                <w:szCs w:val="24"/>
              </w:rPr>
              <w:t>настроенный протокол мониторирования при операциях на щитовидной и паращитовидных железах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3.3.26  Заводской преднастроенный протокол мониторирования при операциях на лицевом нерве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3.3.27  Встроенная цветная подсказка о местах наложения ре</w:t>
            </w:r>
            <w:r>
              <w:rPr>
                <w:rFonts w:ascii="Times New Roman" w:hAnsi="Times New Roman"/>
                <w:sz w:val="24"/>
                <w:szCs w:val="24"/>
              </w:rPr>
              <w:t>гистри-рующих электродов и рекомендуемых способах стимуляции для заводских преднастроенных протоколов мониторирова-ния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3.3.29  Возможность оперативно комментировать основные этапы операции при помощи преднастроенных типовых шаблонов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3.30  Автоматический контроль импеданса регистрирующих элек-тродов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3.3.31  Возможность создавать  новые сценарии нейромониторинга, отличные от предустановленных производителем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3.3.32  Система акустической индикации об ЭМГ-ответе или о</w:t>
            </w:r>
            <w:r>
              <w:rPr>
                <w:rFonts w:ascii="Times New Roman" w:hAnsi="Times New Roman"/>
                <w:sz w:val="24"/>
                <w:szCs w:val="24"/>
              </w:rPr>
              <w:t>тсут-ствии ЭМГ-ответа на стимуляцию, позволяющая хирургу выполнять операцию без нейрофизиолога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3.3.33  Возможность подключения дополнительного экрана к базо-вой станции нейромонитора в режиме дублирования изобра-жения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3.3.34 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ь подключения компьютерных интерфейсов «мышь» и клавиатуры при помощи USB-разъемов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3.3.35  Автоматическая детекция помех во время использования оборудования для коагуляции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3.3.36  Возможность удаленной настройки и технического обслужи</w:t>
            </w:r>
            <w:r>
              <w:rPr>
                <w:rFonts w:ascii="Times New Roman" w:hAnsi="Times New Roman"/>
                <w:sz w:val="24"/>
                <w:szCs w:val="24"/>
              </w:rPr>
              <w:t>-вания через сеть Интернет или локальную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Общие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3.4.1   Габариты, ШхВхГ не более 300х400х270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3.4.2   Вес не более 7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3.4.3   Номинальное напряжение питающей сети 220 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3.4.4   Частота питающей сети переменного н</w:t>
            </w:r>
            <w:r>
              <w:rPr>
                <w:rFonts w:ascii="Times New Roman" w:hAnsi="Times New Roman"/>
                <w:sz w:val="24"/>
                <w:szCs w:val="24"/>
              </w:rPr>
              <w:t>апряжения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3.4.5   Потребляемая мощность   Не более 130    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Интраоперационный нейромонитор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Устройство для подключения регистрирующих электродов многоразовое: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дифференциальных реги</w:t>
            </w:r>
            <w:r>
              <w:rPr>
                <w:rFonts w:ascii="Times New Roman" w:hAnsi="Times New Roman"/>
                <w:sz w:val="24"/>
                <w:szCs w:val="24"/>
              </w:rPr>
              <w:t>стрирующих каналов    Не менее 8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разъемов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кабель, длина Не менее 5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Электрод игольчатый одиночный, прямой, одноразовый сте-рильный: Не менее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18 и не более 24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длина кабеля  не </w:t>
            </w:r>
            <w:r>
              <w:rPr>
                <w:rFonts w:ascii="Times New Roman" w:hAnsi="Times New Roman"/>
                <w:sz w:val="24"/>
                <w:szCs w:val="24"/>
              </w:rPr>
              <w:t>менее 1,5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разъем типа "touchproof"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- зеленый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Электрод игольчатый парный, прямой, стерильный, однора-зовый:   30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   не менее 13 и не более 19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кабеля  не менее 2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разъем тип</w:t>
            </w:r>
            <w:r>
              <w:rPr>
                <w:rFonts w:ascii="Times New Roman" w:hAnsi="Times New Roman"/>
                <w:sz w:val="24"/>
                <w:szCs w:val="24"/>
              </w:rPr>
              <w:t>а "touchproof"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уникальная для каждой пары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Электрод игольчатый парный, прямой, стерильный, однора-зовый:   30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   не менее 18 и не более 24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кабеля  не менее 2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разъем типа "touchpro</w:t>
            </w:r>
            <w:r>
              <w:rPr>
                <w:rFonts w:ascii="Times New Roman" w:hAnsi="Times New Roman"/>
                <w:sz w:val="24"/>
                <w:szCs w:val="24"/>
              </w:rPr>
              <w:t>of"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уникальная для каждой пары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Электрод стимуляционный, многоразовый монополярный, изогнутый, изолированный корпус, автоклавируемый  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Электрод стимуляционный, одноразовый монополярный, с изолиро</w:t>
            </w:r>
            <w:r>
              <w:rPr>
                <w:rFonts w:ascii="Times New Roman" w:hAnsi="Times New Roman"/>
                <w:sz w:val="24"/>
                <w:szCs w:val="24"/>
              </w:rPr>
              <w:t>ванным корпусом, стерильный не менее 5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Электрод стимуляционный, многоразовый биполярный, «микровилка», прямой, автоклавируемый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Электрод спиралевидный одинарный, стерильный, однора-зовый: не менее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конический корпус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кабеля  не менее 1,5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разъем типа "touchproof"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</w:t>
            </w:r>
            <w:r>
              <w:rPr>
                <w:rFonts w:ascii="Times New Roman" w:hAnsi="Times New Roman"/>
                <w:sz w:val="24"/>
                <w:szCs w:val="24"/>
              </w:rPr>
              <w:t>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из-мерения, 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</w:t>
            </w:r>
            <w:r>
              <w:rPr>
                <w:rFonts w:ascii="Times New Roman" w:hAnsi="Times New Roman"/>
                <w:sz w:val="24"/>
                <w:szCs w:val="24"/>
              </w:rPr>
              <w:t>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обслу-живанию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и ввода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эксплуатацию с момента заключения контрак-та   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аппараты для функциональной диагностики прочие,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26.60.12.129-00000190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Нейромон</w:t>
            </w:r>
            <w:r>
              <w:rPr>
                <w:rFonts w:ascii="Times New Roman" w:hAnsi="Times New Roman"/>
                <w:sz w:val="24"/>
                <w:szCs w:val="24"/>
              </w:rPr>
              <w:t>итор интраоперационный ISIS С2 c принадлежностями. Иномед Медицин-текник Гмбх, Германия. РУ от 26.07.2011 № ФСЗ 2011/09964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Монитор целостности нерва NIM 3,0 с принадлежностями. "Медтроник Ксомед Инк.", Соединенные Штаты. РУ от 11.05.2010 № ФСЗ 2010/067</w:t>
            </w:r>
            <w:r>
              <w:rPr>
                <w:rFonts w:ascii="Times New Roman" w:hAnsi="Times New Roman"/>
                <w:sz w:val="24"/>
                <w:szCs w:val="24"/>
              </w:rPr>
              <w:t>87.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49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A93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F3A" w:rsidRDefault="00A93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93F3A" w:rsidRDefault="00A93F3A">
            <w:pPr>
              <w:rPr>
                <w:szCs w:val="16"/>
              </w:rPr>
            </w:pP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3F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93F3A" w:rsidRDefault="00497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9720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F3A"/>
    <w:rsid w:val="00497204"/>
    <w:rsid w:val="00A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1EC2-4CE7-44DF-B35E-85EB77F1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2022-06-03T01:19:00Z</dcterms:created>
  <dcterms:modified xsi:type="dcterms:W3CDTF">2022-06-03T01:20:00Z</dcterms:modified>
</cp:coreProperties>
</file>