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64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 w:rsidRPr="003005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Pr="00300583" w:rsidRDefault="00300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5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Pr="00300583" w:rsidRDefault="004164DF">
            <w:pPr>
              <w:rPr>
                <w:szCs w:val="16"/>
                <w:lang w:val="en-US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 w:rsidP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№.915-2022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64DF" w:rsidRDefault="00300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64DF" w:rsidTr="00300583">
        <w:tblPrEx>
          <w:tblCellMar>
            <w:top w:w="0" w:type="dxa"/>
            <w:bottom w:w="0" w:type="dxa"/>
          </w:tblCellMar>
        </w:tblPrEx>
        <w:trPr>
          <w:trHeight w:hRule="exact" w:val="1628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количественного и качественного определения иммуноглобулинов класса G к вирусу кори в сыворотке (плазме)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непрямой  иммуноферментный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Формат планшета: 96-луночный,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 Образец для анализа: сыворотка крови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Продолжительность анализа (суммарное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инкубаций)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час 25 мин. Диапазон измерений от 0 до 5 МЕ/мл.  Цветовая индикация внесения сывороток, контролей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лунки планш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ета.  Регистрация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результатов: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-волна 620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Возможность качественной и количественной оценки результатов. Калибровочные образцы 0; 0,15; 0,5; 1; 2; 5 МЕ/мл.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Чувствительность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0,07 МЕ/мл. Взаимозаменяемость (универса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льность) неспецифических компонентов для всех заявленных ИФА-наборов лота.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транспортирования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до 25ºС до 10 суток. 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 месяцев. Укомплектованность наборов разовыми емкостями для растворов, наконечниками д</w:t>
            </w:r>
            <w:r>
              <w:rPr>
                <w:rFonts w:ascii="Times New Roman" w:hAnsi="Times New Roman"/>
                <w:sz w:val="24"/>
                <w:szCs w:val="24"/>
              </w:rPr>
              <w:t>ля пипеток, клейкой пленкой для планшетов. Наличие регистрационного удостоверения, выданного Федеральной Службой по надзору в Сфере Здравоохранения и Социального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3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41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64DF" w:rsidRDefault="0041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 w:rsidP="00300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64DF" w:rsidRDefault="004164DF">
            <w:pPr>
              <w:rPr>
                <w:szCs w:val="16"/>
              </w:rPr>
            </w:pP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64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64DF" w:rsidRDefault="00300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005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4DF"/>
    <w:rsid w:val="00300583"/>
    <w:rsid w:val="004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C654-C5DE-419F-9E11-160A1E7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2022-06-02T03:09:00Z</dcterms:created>
  <dcterms:modified xsi:type="dcterms:W3CDTF">2022-06-02T03:11:00Z</dcterms:modified>
</cp:coreProperties>
</file>