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2551"/>
        <w:gridCol w:w="2770"/>
        <w:gridCol w:w="875"/>
        <w:gridCol w:w="603"/>
        <w:gridCol w:w="779"/>
        <w:gridCol w:w="1578"/>
        <w:gridCol w:w="1284"/>
      </w:tblGrid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 w:rsidRPr="00854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Pr="00854661" w:rsidRDefault="00854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46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46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46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szCs w:val="16"/>
                <w:lang w:val="en-US"/>
              </w:rPr>
            </w:pPr>
          </w:p>
        </w:tc>
      </w:tr>
      <w:tr w:rsidR="005B1987" w:rsidRPr="00854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Pr="00854661" w:rsidRDefault="00854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66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Pr="00854661" w:rsidRDefault="005B1987">
            <w:pPr>
              <w:rPr>
                <w:szCs w:val="16"/>
                <w:lang w:val="en-US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 w:rsidP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№.914-2020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987" w:rsidRDefault="00854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87" w:rsidRDefault="00854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воздушного потока к аппарату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датчик  измерения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давления, потока и объема.  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пациентов:  взрослые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дети. Поток: 0-180 л/мин. Мертвое пространство: 10,3 мл. Сопротивление: менее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/л/с. Масса: 11,5 г без трубок; 71 г с трубками 1,88 м. Длина трубки: 1,88 м. Разъемы: штекерный (22 мм) и гнездовой (15 мм) разъемы пациента; штеке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рный разъем аппарата ИВЛ 15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АБС, заслонка - полиэстер, трубки - поливинилхлорид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Все компоненты не содержат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веществ животного происхождения.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канцерогенных </w:t>
            </w:r>
            <w:r>
              <w:rPr>
                <w:rFonts w:ascii="Times New Roman" w:hAnsi="Times New Roman"/>
                <w:sz w:val="24"/>
                <w:szCs w:val="24"/>
              </w:rPr>
              <w:t>или токсичных веществ.  Технические характеристики: Точность для откалиброванного датчика потока должна иметь погрешность не более 20%. Температура: 10-40С (рабочая), от -20 до 50С (хранение). Продолжительность работы датчика зависит от действующих схем ко</w:t>
            </w:r>
            <w:r>
              <w:rPr>
                <w:rFonts w:ascii="Times New Roman" w:hAnsi="Times New Roman"/>
                <w:sz w:val="24"/>
                <w:szCs w:val="24"/>
              </w:rPr>
              <w:t>нтроля внутрибольничных инфекций, наличия секрета у пациента, а также распыления лекарственных препаратов, одноразового использования. Принадлежности: зажим трубки; адаптер для калибровки, гнездовые разъемы 22 х 22. Датчик совместим с аппаратом ИВЛ произво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HamiltonMedical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имеет уникальный серийный номер. Обязательно должна быть возможность прохождение теста калибровки при соединении с аппаратом.  Одноразовое использование. Количество в упаковке не менее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универсальная, </w:t>
            </w:r>
            <w:r>
              <w:rPr>
                <w:rFonts w:ascii="Times New Roman" w:hAnsi="Times New Roman"/>
                <w:sz w:val="24"/>
                <w:szCs w:val="24"/>
              </w:rPr>
              <w:t>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5Fr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баллонный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экстренная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критических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брадиаритмиях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Биполярный электрод для временной ЭКС 5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расстояние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электродами: 25 мм, ширина 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ектродов: 5 мм. Тип: баллонный (FI).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открытого типа,1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-Блэкмора трехходовой СН 16, длина 100 см, цилиндрический наконечник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Сенгстакен-Блекмора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трёхходовый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наружный диаметр 5.3 мм. Изготовлен из красной мягкой резины, цилиндрический наконечник с 4-мя дренажными отверстиями. Два баллона продолговатой формы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латекса разделены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кольцом. Чёрная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етка,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100±2 см. Внешний диаметр СН 16.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носовая прямая с трубкой 2,1 м, для взрослых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Носовая канюля взрослая с прямой назальной частью и кислородной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трубкой не менее 210 см с несминаемым просветом и универсальным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Скорость потока 1-7 л/мин. Без латекса. Чистая упаковка.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Анализатора i-STAT1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TCO2, HCO3, BE, sO2;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максимальный объем пробы, не более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с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температуры хранения картриджа, не </w:t>
            </w:r>
            <w:r>
              <w:rPr>
                <w:rFonts w:ascii="Times New Roman" w:hAnsi="Times New Roman"/>
                <w:sz w:val="24"/>
                <w:szCs w:val="24"/>
              </w:rPr>
              <w:t>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 i-STAT1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pCO2, pO2, TCO2, HCO3, BE, sO2, гемоглобина и глюкозы;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набор электродов, калибровочную жидкость, периста</w:t>
            </w:r>
            <w:r>
              <w:rPr>
                <w:rFonts w:ascii="Times New Roman" w:hAnsi="Times New Roman"/>
                <w:sz w:val="24"/>
                <w:szCs w:val="24"/>
              </w:rPr>
              <w:t>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объем пробы, не более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</w:t>
            </w:r>
            <w:r>
              <w:rPr>
                <w:rFonts w:ascii="Times New Roman" w:hAnsi="Times New Roman"/>
                <w:sz w:val="24"/>
                <w:szCs w:val="24"/>
              </w:rPr>
              <w:t>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выполнения исследования, не более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документация – регистрационное удостоверен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20G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катетеризации периферических вен. Состав: катетер прозрачный, с четырьмя R-контрастными полосками,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20G - 1.1 мм, длина 33 мм, скорость потока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глубины ввода катетера (сантиметровая). Ярлыки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давлении 250 мм рт.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изогнутый.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трехходовый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</w:t>
            </w:r>
            <w:r>
              <w:rPr>
                <w:rFonts w:ascii="Times New Roman" w:hAnsi="Times New Roman"/>
                <w:sz w:val="24"/>
                <w:szCs w:val="24"/>
              </w:rPr>
              <w:t>при напряжении 2,5 вольт с использованием ЛЕД-рукояти – 16 000 люкс. Материал 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холодной стерилизации. Высот</w:t>
            </w:r>
            <w:r>
              <w:rPr>
                <w:rFonts w:ascii="Times New Roman" w:hAnsi="Times New Roman"/>
                <w:sz w:val="24"/>
                <w:szCs w:val="24"/>
              </w:rPr>
              <w:t>а клинка 25 мм. Длина клинка 155 мм. Предназначен для одноразового использования.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"МИЛЛЕР",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прямой ларингоскопии и интубации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трахеи.Совместим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оригинальным замком рукояти стандарта DIN EN ISO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7376,имеющейся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Заказчика. Материал клинка: пластик (полиамид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торцевой части не более 15 мм. Интегрированный акриловый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не мене</w:t>
            </w:r>
            <w:r>
              <w:rPr>
                <w:rFonts w:ascii="Times New Roman" w:hAnsi="Times New Roman"/>
                <w:sz w:val="24"/>
                <w:szCs w:val="24"/>
              </w:rPr>
              <w:t>е 3,8±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0,2мм.Интенсивность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света на конце клинка не менее 8 700 люкс / 3,5 B. Форма клинка должна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соответствоватьтребованиям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стандарта DIN EN ISO 7376-3.Индивидуальная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взрослый 22 мм, конфигурируемый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одноразовый взрослый для использования с аппаратом ИВЛ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встроенным клапаном выдоха. Внутренний диаметр патрубков 22 мм. Максимальная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трубки  150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грибковый клапан, измерительная линия. Не содержит ПВХ и латекс.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дыхательная для взрослых (контур пациента, одноразовый)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дыхательная для взрослых (контур пациента, одноразовый), состав: силиконовый шланг 3,0 метра, дыхательный клапан, датчик расхода (потока) угловой коннектор.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Дыхательный контур для аппарата для искусственной вентиляции легких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Oxylog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не содержит латекса, одноразовый, 3 м, Комплект 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пациента с датчиком потока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характеристика: Контур пациента в комплекте с </w:t>
            </w:r>
            <w:r>
              <w:rPr>
                <w:rFonts w:ascii="Times New Roman" w:hAnsi="Times New Roman"/>
                <w:sz w:val="24"/>
                <w:szCs w:val="24"/>
              </w:rPr>
              <w:t>предустановленным датчиком потока.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пациентов: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взрослые, дети.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исполнения контура Коаксиальный.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двухтрубочный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хранения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-20 до 60°С.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использования от -15 до 50°С.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контура 180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Патрубки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линии </w:t>
            </w:r>
            <w:r>
              <w:rPr>
                <w:rFonts w:ascii="Times New Roman" w:hAnsi="Times New Roman"/>
                <w:sz w:val="24"/>
                <w:szCs w:val="24"/>
              </w:rPr>
              <w:t>вдоха и выдоха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Комплайнс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контура при давлении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см.вд.ст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1,8 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см.вд.ст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Встроенный датчик измерения давления, потока и объема.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потока от 0 до 180 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Мертвое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пространство: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Сопротивление: 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</w:t>
            </w:r>
            <w:r>
              <w:rPr>
                <w:rFonts w:ascii="Times New Roman" w:hAnsi="Times New Roman"/>
                <w:sz w:val="24"/>
                <w:szCs w:val="24"/>
              </w:rPr>
              <w:t>ина измерительных трубок: 185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Точность откалиброванного датчика потока. 20%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измерительных линий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датчика: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корпус -  прозрачный АБС,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заслонка - полиэстер,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трубки - поливинилхлорид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Адаптер </w:t>
            </w:r>
            <w:r>
              <w:rPr>
                <w:rFonts w:ascii="Times New Roman" w:hAnsi="Times New Roman"/>
                <w:sz w:val="24"/>
                <w:szCs w:val="24"/>
              </w:rPr>
              <w:t>для проведения калибровки датчика потока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Заглушка для проверки герметичности контура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фиксации измерительных линий датчика вдоль контура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компоненты не содержат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веществ животн</w:t>
            </w:r>
            <w:r>
              <w:rPr>
                <w:rFonts w:ascii="Times New Roman" w:hAnsi="Times New Roman"/>
                <w:sz w:val="24"/>
                <w:szCs w:val="24"/>
              </w:rPr>
              <w:t>ого происхождения, канцерогенных, токсичных веществ. Соответствие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регулятор потоков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деления на мешке. </w:t>
            </w:r>
            <w:r>
              <w:rPr>
                <w:rFonts w:ascii="Times New Roman" w:hAnsi="Times New Roman"/>
                <w:sz w:val="24"/>
                <w:szCs w:val="24"/>
              </w:rPr>
              <w:t>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обратно-режущая 45 мм, 3/8,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МедЛавсан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нить хирургическая (от 1 до 20 шт.) из полиэфира, плетеная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крученая, окрашенная (зелёная) и неокрашенная, следующих метрических размеров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(условных номеров): 0,01 (12-0); 0,1 ( 11-0); 0,2 (10-0); 0,3 </w:t>
            </w:r>
            <w:r>
              <w:rPr>
                <w:rFonts w:ascii="Times New Roman" w:hAnsi="Times New Roman"/>
                <w:sz w:val="24"/>
                <w:szCs w:val="24"/>
              </w:rPr>
              <w:t>(9-0); 0,4 (8-0); 0,5 (7-0)- 0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(6-0); 1 (5-0); 1,5 (4-0); 2 (3-0); 2,5 (-); 3 (2-0); 3,5 (0); 4 (1); 5 (2); 6 (3-4); 7 (5); 8 (6); 9 (7);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(8); 11 (9); 12(10), длиной нити: от 0,2 до 100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 м, уложенная в фиксатор,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иглами хирургическим (о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1 до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развернутой длиной от 3 до 150 мм, диаметром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0,05 до 2,0 мм;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степенью изгиба: G - прямая, J - 4/5 окружности, F - 5/8 окружности,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 -1/2 окружности, N - 7/16 окружности, D - 3/8 окружности, V - 1/4 окружности, I - 5/16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окружности; жесткос</w:t>
            </w:r>
            <w:r>
              <w:rPr>
                <w:rFonts w:ascii="Times New Roman" w:hAnsi="Times New Roman"/>
                <w:sz w:val="24"/>
                <w:szCs w:val="24"/>
              </w:rPr>
              <w:t>тью: массивная, тонкая, стандартная; формой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острия иглы. R - колющая (цилиндрическая с уплощением форма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тела и коническая заточка конца иглы), S - режущая (трёхгранная форма поперечного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сечения тела с направлением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из граней внутрь), 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щпателевидная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обратной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заточкой, Q - обратно-режущая (трёхгранная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направлением одной из граней наружу), W - режущая (цилиндрическая с уплощением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поперечного сечения тела с трехгранной за</w:t>
            </w:r>
            <w:r>
              <w:rPr>
                <w:rFonts w:ascii="Times New Roman" w:hAnsi="Times New Roman"/>
                <w:sz w:val="24"/>
                <w:szCs w:val="24"/>
              </w:rPr>
              <w:t>точкой с направлением одной из граней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внутрь), О - колющая (цилиндрическая с уплощением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тупым концом); п - с насечками или без насечек;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ущка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1 - пружинящая, 2 -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непружинящая или без игл хирургических; с укрепляющими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пластинами из фетра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медицинского, или из ПТФЭ, или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ксеноперикарда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 1 до 20 шт.) длиной и шириной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 до 12 мм с шагом 1 мм и толщиной от 0,5 до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 мм Или без пластин.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хирургическое стерильное №23 из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>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требованиями нормативов стандартов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</w:t>
            </w:r>
            <w:r>
              <w:rPr>
                <w:rFonts w:ascii="Times New Roman" w:hAnsi="Times New Roman"/>
                <w:sz w:val="24"/>
                <w:szCs w:val="24"/>
              </w:rPr>
              <w:t>занием номера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для волюметрического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ФМС). Состав: Пункционные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наконечник, вентиляционный канал с антибактериальным фильтром с заглушкой, выделенный капельник объемом 20 капель = 1 мл, прозрачная верхняя часть капельной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часть, интегрированный фильтр 15 мкм, прозрачная трубка длиной 855 см с установленным роликовым зажимом оранжевого цвета, силиконовый сегмент длиной 10 см с двумя фиксаторами для перистальтического сегмента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ФМС), прозрачная трубка длиной 145 см с интегрированным винтовым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кодировка роликового зажима- оранжевый цвет. Резистентность к давлению в системе - 2 бар (1500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кислородная для взрослых с </w:t>
            </w:r>
            <w:r>
              <w:rPr>
                <w:rFonts w:ascii="Times New Roman" w:hAnsi="Times New Roman"/>
                <w:sz w:val="24"/>
                <w:szCs w:val="24"/>
              </w:rPr>
              <w:t>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Кислородная маска для оксигенотерапии средней 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</w:t>
            </w:r>
            <w:r>
              <w:rPr>
                <w:rFonts w:ascii="Times New Roman" w:hAnsi="Times New Roman"/>
                <w:sz w:val="24"/>
                <w:szCs w:val="24"/>
              </w:rPr>
              <w:t>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>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</w:t>
            </w:r>
            <w:r>
              <w:rPr>
                <w:rFonts w:ascii="Times New Roman" w:hAnsi="Times New Roman"/>
                <w:sz w:val="24"/>
                <w:szCs w:val="24"/>
              </w:rPr>
              <w:t>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140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ширина 105 мм, профиль 113 мм. Объем мертвого пространства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поликарбона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полиуретана и нейлона. Анатомическая форма маски повторяет контур лица пациента за счет мягкого пластичного материала из силикона 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132 мм, ширина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изготовлено из ПВХ. Сборный </w:t>
            </w:r>
            <w:r>
              <w:rPr>
                <w:rFonts w:ascii="Times New Roman" w:hAnsi="Times New Roman"/>
                <w:sz w:val="24"/>
                <w:szCs w:val="24"/>
              </w:rPr>
              <w:t>мешок прямоугольной формы, передняя прозрачная и задняя непрозрачная белая поверхности соединены между собой посредством спайки. Передняя стенка сборного мешка градуирована. Шаг градуировки - 100 мл. В верхней части сборного мешка - 2 укрепленных армирован</w:t>
            </w:r>
            <w:r>
              <w:rPr>
                <w:rFonts w:ascii="Times New Roman" w:hAnsi="Times New Roman"/>
                <w:sz w:val="24"/>
                <w:szCs w:val="24"/>
              </w:rPr>
              <w:t>ных отверстия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 мочи. Приводная трубка длиной не менее 90 см и не более 110 см, имеет универсальный к</w:t>
            </w:r>
            <w:r>
              <w:rPr>
                <w:rFonts w:ascii="Times New Roman" w:hAnsi="Times New Roman"/>
                <w:sz w:val="24"/>
                <w:szCs w:val="24"/>
              </w:rPr>
              <w:t>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артерий </w:t>
            </w:r>
            <w:r>
              <w:rPr>
                <w:rFonts w:ascii="Times New Roman" w:hAnsi="Times New Roman"/>
                <w:sz w:val="24"/>
                <w:szCs w:val="24"/>
              </w:rPr>
              <w:t>20G/80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инвазивного измерения 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введение катетера и обеспечивает хорошее скольжение при установке. Фиксирующие крылья - мягкие крылья из полиурета</w:t>
            </w:r>
            <w:r>
              <w:rPr>
                <w:rFonts w:ascii="Times New Roman" w:hAnsi="Times New Roman"/>
                <w:sz w:val="24"/>
                <w:szCs w:val="24"/>
              </w:rPr>
              <w:t>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Проводник из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нержавеющей стали 35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22G/80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Наборы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инвазивного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гемодинамического давления и взятия проб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Катетер: диаметр, мм; длина, мм 0,87;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Игла: диаметр, G, мм; длина, мм 22; 0,80 ×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Проводник: длина, см - диаметр, дюйм 35 - 0,021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полностью совмести</w:t>
            </w:r>
            <w:r>
              <w:rPr>
                <w:rFonts w:ascii="Times New Roman" w:hAnsi="Times New Roman"/>
                <w:sz w:val="24"/>
                <w:szCs w:val="24"/>
              </w:rPr>
              <w:t>м с тканями и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особая форма кончика облегчает введение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хорошее скольжение при установке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Фиксирующие крылья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из полиуретана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мягкие крылья легко прилегают к коже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три отверстия для подшивания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</w:t>
            </w:r>
            <w:r>
              <w:rPr>
                <w:rFonts w:ascii="Times New Roman" w:hAnsi="Times New Roman"/>
                <w:sz w:val="24"/>
                <w:szCs w:val="24"/>
              </w:rPr>
              <w:t>инительная линия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линия из полиуретана длиной 7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позволяет подсоединить шприц или линию для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удалении от места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уменьшает вероятность деформации катетера в месте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манипуляций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открывается автоматически при подсоединении линии высокого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 и закрывается при ее отсоединении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манипуляции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не влияет на результаты измерения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</w:t>
            </w:r>
            <w:r>
              <w:rPr>
                <w:rFonts w:ascii="Times New Roman" w:hAnsi="Times New Roman"/>
                <w:sz w:val="24"/>
                <w:szCs w:val="24"/>
              </w:rPr>
              <w:t>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Цельный конический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павильон снижает риск пункционной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введение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Проводник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прямой кончик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Диаметр проводника соответствует диамет</w:t>
            </w:r>
            <w:r>
              <w:rPr>
                <w:rFonts w:ascii="Times New Roman" w:hAnsi="Times New Roman"/>
                <w:sz w:val="24"/>
                <w:szCs w:val="24"/>
              </w:rPr>
              <w:t>ру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18G и проводником длиной 45 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одноканальным ЦВК 14G/20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канала и зажимом. Наружный диаметр катетера 14G/2,1 мм,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лина катетера 20 см. Канал 1,4 мм, скорость 90 мл/мин. Пункционная игла тонкостенная, с овальным срезом;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металлический гибкий, маркированный, с J-образным кончиком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дилататором,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с увеличенной толщиной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тканей, с трубкой 8.0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Специализированный 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удлиненным дилататором для пациентов с ожирением, «бычьей» шеей и другими вариантами измененной анатомии с увеличением толщины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до 55 мм. Состав: скальпель; удлиненная пункционная игла 14G с канюлей и  несмываемой маркировкой не более чем через каждые 10 мм, длина рабочей части канюли не менее 80 мм  с устройством для защиты от укола иглой при утилизации; шприц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трёхкомпонентный объёмом не менее 10 мл для выполнения аспирационной пробы; удлиненный гибкий проводник; конусный дилататор с разметкой глубины введения не более чем через каждые 10 мм и изогнутый металлический зажим для первоначальной дилатации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претрахеа</w:t>
            </w:r>
            <w:r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тканей; катетер проводник; изогнутый дилататор S-образной формы, размер 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эргономичная форма рукоятки, гидрофильное покрытие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введения, разметка для определения глубины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– метка для эндоскопического подтверждения и 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метки на глубине 30, 40 и 50 мм;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с внутренним диаметром не более 8.0, наружным диаметром не более  12,6 мм, армированная с регулируемым положением шейного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фланца,с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дисконнекции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любрикантом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облегчения введения</w:t>
            </w:r>
            <w:r>
              <w:rPr>
                <w:rFonts w:ascii="Times New Roman" w:hAnsi="Times New Roman"/>
                <w:sz w:val="24"/>
                <w:szCs w:val="24"/>
              </w:rPr>
              <w:t>; обтуратор с внутренним каналом; гибкая внутренняя канюля; тесьма для фиксации трубки; ершик для очистки.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 укрывное для взрослых, нестерильное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 для прибора EQ-5000. Зона обогрева: шейно-воротниковая область, туловище и нижние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конечности. Одеяло изготовлено из двух склеенных термопечатью листков волокнистого нетканого материала, имеющего в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экструдированный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тонковолоконный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полипропилен, спаянный на каландре. Внутренние терморегулирующие распределительные каналы - линейные.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каждого канала в заполненном воздухом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состоянии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65 мм. Форсунки на поверхности канала, на обращённой к пациенту стороне. Внешнее водоотталкивающее полиэтиленовое покрытие с биологически инертной огнезащитной пропиткой (инертные смолы 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плотности – негорючие самогасящиеся составы). У одеяла должна быть абсолютная биологическая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инертность. Размеры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одеяла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203 x 102 см. Индивидуальная клинически чистая упаковка у каждого одеяла, пользовательская – по 10 штук в коробке.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 укрывное для взрослых, нестерильное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Согревающие одеяла обеспечивают достижение и поддержание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нормотермии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пациента, что минимизирует послеоперационные осложнения. Легкий прочный материал, устойчивый к проколам и разрывам,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максимальную эффективность и комфорт для пациента. Микроскопические отверстия на поверхности одеяла обеспечивают циркуляцию воздуха для оптимального согревания. Одеяла проницаемы для рентгеновского излучения и не создают артефактов при рентгенологическом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сследовании. Не содержит латекс. Ткань, адгезивные элементы и упаковка одеял не содержат латекс. Отсутствие латекса предотвращает развитие кожных аллергических реакций. Конструкция одеял предотвращает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обеспечивает тесный контакт с телом пациента,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минимизирует риск соскальзывания и обеспечивает оптимальное согревание. Наружный слой одеял изготовлен из нетканого материала, исключающего непосредственный контакт кожи пациента с горячим пластиком. Широкий ассортимент различных вариантов и размеров одея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для всевозможных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клинических ситуаций. Полномерное одеяло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CareQuilt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взрослых: · Для использования в палатах пробуждения, отделениях интенсивной терапии, ожоговых отделениях, акушерских стационарах и отделениях амбулаторной хирургии. · Для оптимальног</w:t>
            </w:r>
            <w:r>
              <w:rPr>
                <w:rFonts w:ascii="Times New Roman" w:hAnsi="Times New Roman"/>
                <w:sz w:val="24"/>
                <w:szCs w:val="24"/>
              </w:rPr>
              <w:t>о согревания одеяло должно находиться в непосредственном контакте с кожей пациента. · Грудной вырез облегчает доступ к торакальным дренажным трубкам. · Вырезы в нижней части одеяла дают возможность контролировать пульс и кровообращение в нижних конечностях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· Размер 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вес: 102 см х 201 см, 310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Палочка одноразовая для перемешивания проб, пластиковая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в качестве вспомогательного изделия при проведении иммунологических реакций в лунке планшета, для перемешивания проб. </w:t>
            </w:r>
            <w:r>
              <w:rPr>
                <w:rFonts w:ascii="Times New Roman" w:hAnsi="Times New Roman"/>
                <w:sz w:val="24"/>
                <w:szCs w:val="24"/>
              </w:rPr>
              <w:t>Палочка представляют собой пластиковый стержень, на конце которого имеется уплощение. Изделие полностью готово к работе.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для определения группы крови одноразовые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 для определения групп крови, одноразовый на 3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Планшет на 4 ячейки. расположенные в 4 ряда, предназначен для типирования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системе АВ0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анти-А, анти-В и анти-АВ и по системе «Резус»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анти-D.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</w:t>
            </w:r>
            <w:r>
              <w:rPr>
                <w:rFonts w:ascii="Times New Roman" w:hAnsi="Times New Roman"/>
                <w:sz w:val="24"/>
                <w:szCs w:val="24"/>
              </w:rPr>
              <w:t>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повязок, в том числе объемных абсорбирующих 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фиксирующая 8,0х3,7см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надежную фиксацию дуоденальных зондов, назальных трубок и кислородных катетеров. Материалы: Основа: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 розового цвета. Клей: акриловый клей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очистки.  Изделие представлено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  перфорированной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ленты с легко отсоединяемыми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звеньями.Не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латекса. Размер 8,0 х 3,7 см. Длительность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стояния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дня. Материал повязки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нарушает  естественное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дыхание кожи, предотвращает ее мацерацию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до 200 мм. Мертвое пространство 23-39 мл соответственно.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</w:t>
            </w:r>
            <w:r>
              <w:rPr>
                <w:rFonts w:ascii="Times New Roman" w:hAnsi="Times New Roman"/>
                <w:sz w:val="24"/>
                <w:szCs w:val="24"/>
              </w:rPr>
              <w:t>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манжеты в наборе с двумя внутренними канюлями,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термопластичного ПВХ,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конической формы и анатомическим изгибом 90 град., цветовая кодировка для быстроты подбора, мягкий, прозрачный фланец с маркировкой размера, две сменные внутренние канюли из ПВХ с цветовой кодировкой размера. В наборе направляющая крышк</w:t>
            </w:r>
            <w:r>
              <w:rPr>
                <w:rFonts w:ascii="Times New Roman" w:hAnsi="Times New Roman"/>
                <w:sz w:val="24"/>
                <w:szCs w:val="24"/>
              </w:rPr>
              <w:t>а, фонационный клапан, коннектор на 15 мм, шейная лента для фиксации. Внутренний диаметр 8,0 мм, внешний 9,3/11,9 мм на дистальном и проксимальном концах трубки соответственно. Длина 70,6 мм. Без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7.5 мм, внешний диаметр 10.0 мм, диаметр манжеты 26.0 мм. Длина без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 330±5 мм. Внутренний стилет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кислорода пузырьковый,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транспарентный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 350 мл. Используется для увлажнения кислорода в клинических условиях. Тонкодисперсный распылитель производит большое количество газовых пузырьков малого объема на конце впускной трубки. Таким образом</w:t>
            </w:r>
            <w:r>
              <w:rPr>
                <w:rFonts w:ascii="Times New Roman" w:hAnsi="Times New Roman"/>
                <w:sz w:val="24"/>
                <w:szCs w:val="24"/>
              </w:rPr>
              <w:t>, увеличивается общая поверхность испарения, и повышается влажность проходящего газа. В то же время, маленькие пузырьки создают меньше шума в отличие от больших, что обеспечивает пациенту комфортную атмосферу. Имеется маркировка минимального и максимальног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заполнения увлажнителя. Коннектор UNF 9/16”.  Однократного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более 1,6 см Н2О при 60л/мин, для дыхательного объема 150-1000 мл.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исследования КЩС и газового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состава крови 2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-гепарином 25 МЕ/мл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должен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-разъем для игл, игл-бабочек и других устройств, и систем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-разъем должен быть закрыт пластиковым колпачком для исключения газообмена пробы с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окружающей средой.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содержит раствор антикоагулянта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-гепарин, сбалансированный по кальцию.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взятия крови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с помощью присоединяемых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-игл, так 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иных систем;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применения: получение проб артериальной и венозной крови для исследования газового состава, рН, электролитного баланса и концентрации метаболитов.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поршня должна обеспечивать герметичность системы и плавность перемещения, желательно - поршень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Стерильный, одноразовый, градуированный.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более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коробке, каждый шприц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 упакован.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шприца 2 мл, содержание антикоагулянта из расчета конечной концентрации 25 МЕ/мл.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</w:t>
            </w:r>
            <w:r>
              <w:rPr>
                <w:rFonts w:ascii="Times New Roman" w:hAnsi="Times New Roman"/>
                <w:sz w:val="24"/>
                <w:szCs w:val="24"/>
              </w:rPr>
              <w:t>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легко скользящая накладка поршня с двумя уплотнительными кольцами, нестираемая четка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</w:t>
            </w:r>
            <w:r>
              <w:rPr>
                <w:rFonts w:ascii="Times New Roman" w:hAnsi="Times New Roman"/>
                <w:sz w:val="24"/>
                <w:szCs w:val="24"/>
              </w:rPr>
              <w:t>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потенциалов электродов 5,3 мВ. Восстановление элект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ропроводных свойств электрода менее 3,9 мВ. Устойчивость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паразитарных шумах до 23 мВ. Сверхсильная клеевая основа – двухцветная полиэтиленовая пена медицинского наз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Поднимающийся козырек электрода. Эфф</w:t>
            </w:r>
            <w:r>
              <w:rPr>
                <w:rFonts w:ascii="Times New Roman" w:hAnsi="Times New Roman"/>
                <w:sz w:val="24"/>
                <w:szCs w:val="24"/>
              </w:rPr>
              <w:t>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Калоприемник однокомпонентный 20-70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Однокомпонентные калоприемники представляют собой емкости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запахонепроницаемой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пленки. Двойная система крепления – липкий фланец и герметизирующее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кольцо – надежно удерживает емкость на теле пациента и обеспечивает герметичность и отсутствие запаха. В качестве адгезивного материала, который удерживает калоприемники на коже, используется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гидроколлоидный материал АБУЦЕЛ® (патент RU№2005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494 от 18.11.1991г.). Материал АБУЦЕЛ® не только надежно фиксирует изделие на коже в течение нескольких дней, но и обладает ранозаживляющими свойствами. Благодаря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входящим в его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и касторовому маслу кожа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получает дополни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тельное питание, что способствует лучшему заживлению мелких ранок и ссадин, возникающих в результате попадания на кожу выделений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Размер: вырезаемое отверстие 20-70 мм. В комплекте 5 емкостей, 1 пластиковый зажим и инструкции по использованию.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 закругленными краями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шириной 10 мм) для закрепления катетера.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Состоит из фиксирующей части в виде перфорированного нетканого материала плотностью 50 г/м кв. с бесцветным липким слоем на основе синтетических связующих, нанесенным дискретно в виде волнистых полос, сорбирующей подушечки,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 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плотностью 120 г/м кв.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полиэтиленовой сеточки и защитным слоем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бумаги. Сорбционная способность впитывающей подушечки 7 г/г. Предназначен для длительной фиксации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тетеров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подключичного), канюль, зондов, трубок. Размер 9х12 см. Каждый лейкопластырь упакован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герметичный пакет из ламинированной бумаги с эффектом легкого вскрытия. Лейкопластыри в индивидуальной упаковке скомплектованы в групповую упаковку по 5</w:t>
            </w:r>
            <w:r>
              <w:rPr>
                <w:rFonts w:ascii="Times New Roman" w:hAnsi="Times New Roman"/>
                <w:sz w:val="24"/>
                <w:szCs w:val="24"/>
              </w:rPr>
              <w:t>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это антимикробный, стерильный лейкопластырь для длительной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фиксации 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подушечкой из 100% вискозы, пропи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липкий слой хорошо приклеивается и легко отходит, не оставляя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ледов на 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который легко вскрывается. Лейкопластыри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остерилизованны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85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1987" w:rsidRDefault="005B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987" w:rsidRDefault="00854661" w:rsidP="00854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987" w:rsidRDefault="00854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987" w:rsidRDefault="00854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987" w:rsidRDefault="00854661" w:rsidP="00854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987" w:rsidRDefault="00854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1987" w:rsidRDefault="005B1987">
            <w:pPr>
              <w:rPr>
                <w:szCs w:val="16"/>
              </w:rPr>
            </w:pP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987" w:rsidRDefault="00854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1987" w:rsidRDefault="008546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546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987"/>
    <w:rsid w:val="005B1987"/>
    <w:rsid w:val="008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A8A5F-4855-4CA5-8DB1-07A3C94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6001</Words>
  <Characters>34208</Characters>
  <Application>Microsoft Office Word</Application>
  <DocSecurity>0</DocSecurity>
  <Lines>285</Lines>
  <Paragraphs>80</Paragraphs>
  <ScaleCrop>false</ScaleCrop>
  <Company/>
  <LinksUpToDate>false</LinksUpToDate>
  <CharactersWithSpaces>40129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2020-10-28T05:50:00Z</dcterms:created>
  <dcterms:modified xsi:type="dcterms:W3CDTF">2020-10-28T05:52:00Z</dcterms:modified>
</cp:coreProperties>
</file>