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85F3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 w:rsidRPr="00FB2E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Pr="00FB2E0C" w:rsidRDefault="00FB2E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2E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2E0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2E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2E0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2E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E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85F34" w:rsidRPr="00FB2E0C" w:rsidRDefault="00585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Pr="00FB2E0C" w:rsidRDefault="00585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Pr="00FB2E0C" w:rsidRDefault="00585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Pr="00FB2E0C" w:rsidRDefault="00585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Pr="00FB2E0C" w:rsidRDefault="00585F3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Pr="00FB2E0C" w:rsidRDefault="00585F3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Pr="00FB2E0C" w:rsidRDefault="00585F34">
            <w:pPr>
              <w:rPr>
                <w:szCs w:val="16"/>
                <w:lang w:val="en-US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85F34" w:rsidRDefault="00FB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F34" w:rsidRDefault="00FB2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NETLAN U/UTP 4 пары, Кат.5e, внутренний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14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бесконтактный накладного типа, применяется в системах охраны и в системах контроля и управления доступом (СКД),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считывания кода идентификационных карточек и передачи его на приёмно-контрольные приборы (ПКП) или контроллеры СКД, поддерживающие входной формат данных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Считыватель работает с идентификационными картами и брелоками, стандарта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Технические характеристики: дистанция считывания 10 см; световая индикация: 1 светодиодный индикатор питания и 1 индикатор для отображения режимов работы считывателя; внешний интерфейс: четырёхжильный кабель; интерфейс подключаемых приборов: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управление индикацией: управление переключением между красным и зеленым светодиодом; встроенный звуковой сигнализатор; питание прибора: от прибора, к которому подключен считыватель или от отдельного источника постоянного тока; напряжение питания: </w:t>
            </w:r>
            <w:r>
              <w:rPr>
                <w:rFonts w:ascii="Times New Roman" w:hAnsi="Times New Roman"/>
                <w:sz w:val="24"/>
                <w:szCs w:val="24"/>
              </w:rPr>
              <w:t>7,0 ÷ 25,0 В; потребляемый ток: не более 60 мА; рабочий диапазон температур: от -20 до +50°C; относительная влажность: до 98% при +25°C; степень защиты корпуса: IР20; габаритные размеры: 43х83х14 мм; тип монтажа: настенный навесной.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доступа на 2 считывателя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Контроллер доступа предназначен для управления доступом через одну или две точки доступа путем считывания кодов предъявляемых идентификаторов (карт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PIN-кодов), проверки прав доступа и зам</w:t>
            </w:r>
            <w:r>
              <w:rPr>
                <w:rFonts w:ascii="Times New Roman" w:hAnsi="Times New Roman"/>
                <w:sz w:val="24"/>
                <w:szCs w:val="24"/>
              </w:rPr>
              <w:t>ыкания (размыкания) контактов реле, управляющих запорными устройствами (электромеханическими и электромагнитными замками и защелками, турникетом, шлагбаумом). Напряжение питания от 12 до 15В. Ток потребления в дежурном режиме не более120мА. Количество подк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лючаемых считывателей электронных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2. Расстояние от контроллера до считывателя не более100м. Емкость памяти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-карт, PIN-кодов) не менее 32768. Количество исполнительных реле для управлени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запорными устройствами не менее 2. Максимальная коммутируемая мощность каждого реле не менее 100Вт. Емкость буфера событий не менее 32768. Габаритные размеры пульта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156х107х39мм. Масса не более 0.3кг.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Аккумуляторная </w:t>
            </w:r>
            <w:r>
              <w:rPr>
                <w:rFonts w:ascii="Times New Roman" w:hAnsi="Times New Roman"/>
                <w:sz w:val="24"/>
                <w:szCs w:val="24"/>
              </w:rPr>
              <w:t>батарея, 12 В. 17 А/ч, габаритные размеры 182*76*167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(провод) КСПВ 4*0,50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с упаковкой, кг     3,3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Паритет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диаметр, мм     4,2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 диаметр жил    4х0,5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Резервированный источник </w:t>
            </w:r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применения источника обеспечение бесперебойного питания систем охранно-пожарной сигнализации, электромеханических замков и других потребителей. Световая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индикация″Наличие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сети″ и ″Нагрузка″. Диагностические выходы. Потребляемая мощность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сети переменного тока не более 34 Вт. Выходное напряжение при питании от сети переменного тока от 9.5 до 13.95В. Величина пульсаций выходного напряжения при номинальном токе нагрузки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более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30мВ. Выходной ток номинальный при наличии основного питания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2А. Тип используемого аккумулятора 12В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12В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 аккумуляторов 1. Защита от короткого замыкания. Защита аккумулятора от глубокого разряда. Напряжение, при котором происходит отключение нагрузки для предотвращения глубокого разр</w:t>
            </w:r>
            <w:r>
              <w:rPr>
                <w:rFonts w:ascii="Times New Roman" w:hAnsi="Times New Roman"/>
                <w:sz w:val="24"/>
                <w:szCs w:val="24"/>
              </w:rPr>
              <w:t>яда аккумуляторной батареи от 10.5 до 11В. Ток заряда аккумуляторной батареи от 0.17 до 0.18А.  Диапазон рабочих температур не менее чем от 0 до +40°С. Габаритные размеры не более 158х215х85мм.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ПНД 20 мм с протяжкой </w:t>
            </w:r>
            <w:r>
              <w:rPr>
                <w:rFonts w:ascii="Times New Roman" w:hAnsi="Times New Roman"/>
                <w:sz w:val="24"/>
                <w:szCs w:val="24"/>
              </w:rPr>
              <w:t>черная (50м)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CTG20-20-K02-050-1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м, 3000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гофр.ПНД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20 с зондом (50 м) IEK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Труба гофрированная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</w:t>
            </w:r>
            <w:r>
              <w:rPr>
                <w:rFonts w:ascii="Times New Roman" w:hAnsi="Times New Roman"/>
                <w:sz w:val="24"/>
                <w:szCs w:val="24"/>
              </w:rPr>
              <w:t>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Полиэтилен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наружный,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внутренний,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протяжки: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бухты, 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трубы: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FB2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F34" w:rsidRDefault="0058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85F34" w:rsidRDefault="00FB2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85F34" w:rsidRDefault="00FB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85F34" w:rsidRDefault="00FB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85F34" w:rsidRDefault="00FB2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30.05.2022 17:00:00 по местному времени. </w:t>
            </w: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85F34" w:rsidRDefault="00FB2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85F34" w:rsidRDefault="00585F34">
            <w:pPr>
              <w:rPr>
                <w:szCs w:val="16"/>
              </w:rPr>
            </w:pP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85F34" w:rsidRDefault="00FB2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5F3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85F34" w:rsidRDefault="00FB2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FB2E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F34"/>
    <w:rsid w:val="00585F34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65932-34A2-41E8-ACA0-9549427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2022-05-25T08:30:00Z</dcterms:created>
  <dcterms:modified xsi:type="dcterms:W3CDTF">2022-05-25T08:30:00Z</dcterms:modified>
</cp:coreProperties>
</file>