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10"/>
        <w:gridCol w:w="2420"/>
        <w:gridCol w:w="2648"/>
        <w:gridCol w:w="531"/>
        <w:gridCol w:w="731"/>
        <w:gridCol w:w="871"/>
        <w:gridCol w:w="1733"/>
        <w:gridCol w:w="1429"/>
      </w:tblGrid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RPr="00B07F47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Pr="005309CC" w:rsidRDefault="005309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1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szCs w:val="16"/>
                <w:lang w:val="en-US"/>
              </w:rPr>
            </w:pPr>
          </w:p>
        </w:tc>
      </w:tr>
      <w:tr w:rsidR="00280008" w:rsidRPr="00B07F47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Pr="005309CC" w:rsidRDefault="005309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9C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Pr="005309CC" w:rsidRDefault="00280008">
            <w:pPr>
              <w:rPr>
                <w:szCs w:val="16"/>
                <w:lang w:val="en-US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B07F47" w:rsidP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5309CC">
              <w:rPr>
                <w:rFonts w:ascii="Times New Roman" w:hAnsi="Times New Roman"/>
                <w:sz w:val="24"/>
                <w:szCs w:val="24"/>
              </w:rPr>
              <w:t>.09.2019 г. №.8</w:t>
            </w:r>
            <w:r w:rsidR="00675D9F">
              <w:rPr>
                <w:rFonts w:ascii="Times New Roman" w:hAnsi="Times New Roman"/>
                <w:sz w:val="24"/>
                <w:szCs w:val="24"/>
              </w:rPr>
              <w:t>47</w:t>
            </w:r>
            <w:bookmarkStart w:id="0" w:name="_GoBack"/>
            <w:bookmarkEnd w:id="0"/>
            <w:r w:rsidR="005309CC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5478" w:type="dxa"/>
            <w:gridSpan w:val="3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9344" w:type="dxa"/>
            <w:gridSpan w:val="7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80008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008" w:rsidRDefault="005309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80008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вакуум-контролем, длина 60 см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proofErr w:type="gramStart"/>
            <w:r w:rsidRPr="00675D9F"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53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Кран 3-ходовой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Дискофикс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С, 360°, синий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фиксатором </w:t>
            </w:r>
            <w:r w:rsidRPr="00675D9F">
              <w:rPr>
                <w:rFonts w:ascii="Times New Roman" w:hAnsi="Times New Roman"/>
                <w:sz w:val="24"/>
                <w:szCs w:val="24"/>
              </w:rPr>
              <w:lastRenderedPageBreak/>
              <w:t>поворота, 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 w:rsidP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008" w:rsidRDefault="00280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675D9F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Маска анестезиологическая, средняя взрослая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р.М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средняя. Изготовлена из прозрачного ПВХ. Имеет удлиненную конусообразную форму. Выпуклый прозрачный корпус маски позволяет наблюдать за цветом кожных покровов. Маска снабжена прозрачной, специально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контурированной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манжетой с выемкой для носа, обеспечивающей герметичное физиологичное прилегание. Манжета мягкая, прозрачная,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, не оставляет следов на коже. На верхней поверхности маски - стандартный коннектор диаметром 22мм и портом с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нипельным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клапаном для заполнения манжеты под стандартный шприц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>. Срок хранения - 5 лет.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D9F" w:rsidRDefault="00675D9F">
            <w:pPr>
              <w:rPr>
                <w:szCs w:val="16"/>
              </w:rPr>
            </w:pPr>
          </w:p>
        </w:tc>
      </w:tr>
      <w:tr w:rsidR="00675D9F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Маска кислородная взрослая </w:t>
            </w:r>
            <w:proofErr w:type="gramStart"/>
            <w:r w:rsidRPr="00675D9F">
              <w:rPr>
                <w:rFonts w:ascii="Times New Roman" w:hAnsi="Times New Roman"/>
                <w:sz w:val="24"/>
                <w:szCs w:val="24"/>
              </w:rPr>
              <w:t>с  кислородной</w:t>
            </w:r>
            <w:proofErr w:type="gram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трубкой 2,1 м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упакована.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D9F" w:rsidRDefault="00675D9F">
            <w:pPr>
              <w:rPr>
                <w:szCs w:val="16"/>
              </w:rPr>
            </w:pPr>
          </w:p>
        </w:tc>
      </w:tr>
      <w:tr w:rsidR="00675D9F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Соединитель к контуру, угловой </w:t>
            </w:r>
            <w:r w:rsidRPr="00675D9F">
              <w:rPr>
                <w:rFonts w:ascii="Times New Roman" w:hAnsi="Times New Roman"/>
                <w:sz w:val="24"/>
                <w:szCs w:val="24"/>
              </w:rPr>
              <w:lastRenderedPageBreak/>
              <w:t>конфигурируемый, двойной шарнир, двойная заглушка 22M/15F-22 F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Соединитель к контуру дыхательному, угловой </w:t>
            </w:r>
            <w:r w:rsidRPr="00675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 w:rsidRPr="00675D9F"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D9F" w:rsidRDefault="00675D9F">
            <w:pPr>
              <w:rPr>
                <w:szCs w:val="16"/>
              </w:rPr>
            </w:pPr>
          </w:p>
        </w:tc>
      </w:tr>
      <w:tr w:rsidR="00675D9F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с манжетой р.7,5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D9F" w:rsidRDefault="00675D9F">
            <w:pPr>
              <w:rPr>
                <w:szCs w:val="16"/>
              </w:rPr>
            </w:pPr>
          </w:p>
        </w:tc>
      </w:tr>
      <w:tr w:rsidR="00675D9F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Фильтр дыхательный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Gibeck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Humid-Vent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>, сохранение тепла и влаги, СО2-порт, прямой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 w:rsidRPr="00675D9F"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</w:t>
            </w:r>
            <w:r w:rsidRPr="00675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 w:rsidRPr="00675D9F"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D9F" w:rsidRDefault="00675D9F">
            <w:pPr>
              <w:rPr>
                <w:szCs w:val="16"/>
              </w:rPr>
            </w:pPr>
          </w:p>
        </w:tc>
      </w:tr>
      <w:tr w:rsidR="00675D9F" w:rsidTr="00675D9F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>Электрод медицинский пенистый для ЭКГ 57 х 34 мм</w:t>
            </w:r>
          </w:p>
        </w:tc>
        <w:tc>
          <w:tcPr>
            <w:tcW w:w="26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9F">
              <w:rPr>
                <w:rFonts w:ascii="Times New Roman" w:hAnsi="Times New Roman"/>
                <w:sz w:val="24"/>
                <w:szCs w:val="24"/>
              </w:rPr>
              <w:t xml:space="preserve">Электроды медицинские для ЭКГ. ЭКГ электрод одноразовый самоклеющийся, длительного использования, взрослый. С контактом, покрытым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. Назначение: для постоянного, длительного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ЭКГ у взрослого пациента. Материалы: вспененный полиэтилен. с адгезивным слоем, проводящий гидрогель, позволяющий получить стабильную регистрацию через 2 мин. после наложения, сенсор – проводящий полимер с покрытием.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, коннектор – медицинская сталь; не содержит Латекс. и DEHP. Состав: электрод овально – прямоугольной формы размером 57 х 34мм; водостойкая верхняя и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lastRenderedPageBreak/>
              <w:t>высокоадгезивная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нижняя поверхности; встроенный в центральную часть электрода прозрачный диск из твердого электролитного гидрогеля диаметром 18мм (для возможности контроля состояния кожного покрова под электродом) с сенсором, покрытым 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5D9F"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для обеспечения стабильной электропроводимости, с одной стороны и коннектором – </w:t>
            </w:r>
            <w:proofErr w:type="gramStart"/>
            <w:r w:rsidRPr="00675D9F">
              <w:rPr>
                <w:rFonts w:ascii="Times New Roman" w:hAnsi="Times New Roman"/>
                <w:sz w:val="24"/>
                <w:szCs w:val="24"/>
              </w:rPr>
              <w:t>кнопкой</w:t>
            </w:r>
            <w:proofErr w:type="gram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с другой стороны. Толщина электрода (без учета коннектора) 1 мм; общая площадь 1282 мм2; площадь адгезивного слоя 1028 мм2 с адгезивной способностью 5N; площадь </w:t>
            </w:r>
            <w:proofErr w:type="gramStart"/>
            <w:r w:rsidRPr="00675D9F">
              <w:rPr>
                <w:rFonts w:ascii="Times New Roman" w:hAnsi="Times New Roman"/>
                <w:sz w:val="24"/>
                <w:szCs w:val="24"/>
              </w:rPr>
              <w:t>гидрогеля  254</w:t>
            </w:r>
            <w:proofErr w:type="gramEnd"/>
            <w:r w:rsidRPr="00675D9F">
              <w:rPr>
                <w:rFonts w:ascii="Times New Roman" w:hAnsi="Times New Roman"/>
                <w:sz w:val="24"/>
                <w:szCs w:val="24"/>
              </w:rPr>
              <w:t xml:space="preserve"> мм2; площадь сенсора 80 мм2.</w:t>
            </w:r>
          </w:p>
        </w:tc>
        <w:tc>
          <w:tcPr>
            <w:tcW w:w="5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22150</w:t>
            </w:r>
          </w:p>
        </w:tc>
        <w:tc>
          <w:tcPr>
            <w:tcW w:w="8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5D9F" w:rsidRDefault="0067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5D9F" w:rsidRDefault="00675D9F">
            <w:pPr>
              <w:rPr>
                <w:szCs w:val="16"/>
              </w:rPr>
            </w:pPr>
          </w:p>
        </w:tc>
      </w:tr>
      <w:tr w:rsidR="00280008" w:rsidTr="00675D9F">
        <w:trPr>
          <w:trHeight w:val="375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 w:rsidP="0067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675D9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280008" w:rsidTr="00675D9F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80008" w:rsidTr="00675D9F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80008" w:rsidTr="00675D9F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 w:rsidP="0067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75D9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280008" w:rsidTr="00675D9F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80008" w:rsidTr="00675D9F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2648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871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733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  <w:tc>
          <w:tcPr>
            <w:tcW w:w="1429" w:type="dxa"/>
            <w:shd w:val="clear" w:color="FFFFFF" w:fill="auto"/>
            <w:vAlign w:val="bottom"/>
          </w:tcPr>
          <w:p w:rsidR="00280008" w:rsidRDefault="00280008">
            <w:pPr>
              <w:rPr>
                <w:szCs w:val="16"/>
              </w:rPr>
            </w:pP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0008" w:rsidTr="00675D9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80008" w:rsidRDefault="00530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613482" w:rsidRDefault="00613482"/>
    <w:sectPr w:rsidR="0061348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08"/>
    <w:rsid w:val="00280008"/>
    <w:rsid w:val="005309CC"/>
    <w:rsid w:val="00613482"/>
    <w:rsid w:val="00675D9F"/>
    <w:rsid w:val="00B0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6EE76-DE45-424D-B56D-E9879CA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2019-09-18T06:26:00Z</dcterms:created>
  <dcterms:modified xsi:type="dcterms:W3CDTF">2019-09-18T06:30:00Z</dcterms:modified>
</cp:coreProperties>
</file>