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8"/>
        <w:gridCol w:w="1764"/>
        <w:gridCol w:w="2732"/>
        <w:gridCol w:w="659"/>
        <w:gridCol w:w="968"/>
        <w:gridCol w:w="942"/>
        <w:gridCol w:w="1840"/>
        <w:gridCol w:w="1536"/>
      </w:tblGrid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44" w:type="dxa"/>
            <w:gridSpan w:val="3"/>
            <w:shd w:val="clear" w:color="FFFFFF" w:fill="auto"/>
            <w:vAlign w:val="bottom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FFFFFF" w:fill="auto"/>
            <w:vAlign w:val="bottom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0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44" w:type="dxa"/>
            <w:gridSpan w:val="3"/>
            <w:shd w:val="clear" w:color="FFFFFF" w:fill="auto"/>
            <w:vAlign w:val="bottom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44" w:type="dxa"/>
            <w:gridSpan w:val="3"/>
            <w:shd w:val="clear" w:color="FFFFFF" w:fill="auto"/>
            <w:vAlign w:val="bottom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44" w:type="dxa"/>
            <w:gridSpan w:val="3"/>
            <w:shd w:val="clear" w:color="FFFFFF" w:fill="auto"/>
            <w:vAlign w:val="bottom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44" w:type="dxa"/>
            <w:gridSpan w:val="3"/>
            <w:shd w:val="clear" w:color="FFFFFF" w:fill="auto"/>
            <w:vAlign w:val="bottom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RPr="00EA1822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44" w:type="dxa"/>
            <w:gridSpan w:val="3"/>
            <w:shd w:val="clear" w:color="FFFFFF" w:fill="auto"/>
            <w:vAlign w:val="bottom"/>
          </w:tcPr>
          <w:p w:rsidR="00E24399" w:rsidRPr="00EA1822" w:rsidRDefault="00EA18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18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A182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A18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A182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A18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182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9" w:type="dxa"/>
            <w:shd w:val="clear" w:color="FFFFFF" w:fill="auto"/>
            <w:vAlign w:val="bottom"/>
          </w:tcPr>
          <w:p w:rsidR="00E24399" w:rsidRPr="00EA1822" w:rsidRDefault="00E243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E24399" w:rsidRPr="00EA1822" w:rsidRDefault="00E243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E24399" w:rsidRPr="00EA1822" w:rsidRDefault="00E243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E24399" w:rsidRPr="00EA1822" w:rsidRDefault="00E243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E24399" w:rsidRPr="00EA1822" w:rsidRDefault="00E24399">
            <w:pPr>
              <w:rPr>
                <w:szCs w:val="16"/>
                <w:lang w:val="en-US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44" w:type="dxa"/>
            <w:gridSpan w:val="3"/>
            <w:shd w:val="clear" w:color="FFFFFF" w:fill="auto"/>
            <w:vAlign w:val="bottom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44" w:type="dxa"/>
            <w:gridSpan w:val="3"/>
            <w:shd w:val="clear" w:color="FFFFFF" w:fill="auto"/>
            <w:vAlign w:val="bottom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44" w:type="dxa"/>
            <w:gridSpan w:val="3"/>
            <w:shd w:val="clear" w:color="FFFFFF" w:fill="auto"/>
            <w:vAlign w:val="bottom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44" w:type="dxa"/>
            <w:gridSpan w:val="3"/>
            <w:shd w:val="clear" w:color="FFFFFF" w:fill="auto"/>
            <w:vAlign w:val="bottom"/>
          </w:tcPr>
          <w:p w:rsidR="00E24399" w:rsidRDefault="00EA1822" w:rsidP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18.06.2021 г. №.835-2021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44" w:type="dxa"/>
            <w:gridSpan w:val="3"/>
            <w:shd w:val="clear" w:color="FFFFFF" w:fill="auto"/>
            <w:vAlign w:val="bottom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8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44" w:type="dxa"/>
            <w:gridSpan w:val="3"/>
            <w:shd w:val="clear" w:color="FFFFFF" w:fill="auto"/>
            <w:vAlign w:val="bottom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8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3" w:type="dxa"/>
            <w:gridSpan w:val="7"/>
            <w:shd w:val="clear" w:color="FFFFFF" w:fill="auto"/>
            <w:vAlign w:val="bottom"/>
          </w:tcPr>
          <w:p w:rsidR="00E24399" w:rsidRDefault="00EA18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6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E24399" w:rsidRDefault="00EA1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99" w:rsidRDefault="00EA18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99" w:rsidRDefault="00EA18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99" w:rsidRDefault="00EA18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99" w:rsidRDefault="00EA18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99" w:rsidRDefault="00EA18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99" w:rsidRDefault="00EA18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99" w:rsidRDefault="00EA18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4399" w:rsidRDefault="00EA18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одноразовый не стерильный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хирургический, предназначен для краткосрочных (не более 3-х часов) хирургических вмешательств с незначительным количеством жидкости.  Должен быть 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</w:t>
            </w:r>
            <w:r>
              <w:rPr>
                <w:rFonts w:ascii="Times New Roman" w:hAnsi="Times New Roman"/>
                <w:sz w:val="24"/>
                <w:szCs w:val="24"/>
              </w:rPr>
              <w:t>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г/м². Размер 52-54, длина не менее 140 см. На спине - глубокий запах ("стерильная спина"), четыре завязки на поясе. Рукав на трикотажном манжете не менее 8 см, окантованный ворот на регулируемой застежке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</w:t>
            </w:r>
            <w:r>
              <w:rPr>
                <w:rFonts w:ascii="Times New Roman" w:hAnsi="Times New Roman"/>
                <w:sz w:val="24"/>
                <w:szCs w:val="24"/>
              </w:rPr>
              <w:t>аружный сварной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шов. Изготовлен из полипропиленового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обладающего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водоотталкивающими свойствами, воздухопроницаемостью,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ворсоотделением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биологической устойчивостью, с поверхностной плотностью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25 г/м2. Халат сложен специальным образом, обеспечивающим стерильность изделия при</w:t>
            </w:r>
          </w:p>
        </w:tc>
        <w:tc>
          <w:tcPr>
            <w:tcW w:w="6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24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24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одноразовый не стерильный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хирургический, предназначен для краткосрочных (не более 3-х часов) хирургических вмешательств с незначительным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количеством жидкости.  Должен быть 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г/м². Размер 56-58, длина не менее 140 см. На спине - глубокий запах ("стерильная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>спина"), четыре завязки на поясе. Рукав на трикотажном манжете не менее 8 см, окантованный ворот на регулируемой застежке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наружный сварной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шов. Изготовлен из полипропиленового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обладающего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водоотталкивающими свойствами, воздухопроницаемостью,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ворсоотделением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биологической устойчивостью,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поверхностной плотностью не менее 25 г/м2. Халат сложен специальным образом, обеспечивающим стерильность изделия при</w:t>
            </w:r>
          </w:p>
        </w:tc>
        <w:tc>
          <w:tcPr>
            <w:tcW w:w="6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24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24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210х160 ±0,5см одноразовая стерильная (уп.1 шт.) Простыня должна быть изготовлена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60 г/м². Мягкий, легкий материал, не раз</w:t>
            </w:r>
            <w:r>
              <w:rPr>
                <w:rFonts w:ascii="Times New Roman" w:hAnsi="Times New Roman"/>
                <w:sz w:val="24"/>
                <w:szCs w:val="24"/>
              </w:rPr>
              <w:t>дражает кожных покровов. Простыня должна иметь ровные края, во избежание отрыва частиц материала и попадания их в операционное поле. Материал простыни не должен иметь дефектов, части полотна должны соединяться друг с другом герметично, наличие швейной прос</w:t>
            </w:r>
            <w:r>
              <w:rPr>
                <w:rFonts w:ascii="Times New Roman" w:hAnsi="Times New Roman"/>
                <w:sz w:val="24"/>
                <w:szCs w:val="24"/>
              </w:rPr>
              <w:t>трочки недопустимо. На изделии должна быть нанесена специальная маркировка (стрелочки, рисунки) для указания направления безопасного (асептического) процесса раскладывания белья. Упаковка должна быть индивидуальная, двойная. Комплект должен быть сложен 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циальным образом, для безопасного и асептического раскрытия усилиями одного человека. Наружная упаковка должна иметь форму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пакета. Верхняя часть пакета должна быть выполнена из прозрачного полиэфирно-полипропиленового не менее 7-ми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нижня</w:t>
            </w:r>
            <w:r>
              <w:rPr>
                <w:rFonts w:ascii="Times New Roman" w:hAnsi="Times New Roman"/>
                <w:sz w:val="24"/>
                <w:szCs w:val="24"/>
              </w:rPr>
              <w:t>я часть пакета – из непрозрачной медицинской бумаги.  Ширина шва спайки должна составлять не менее 10мм. Пакет должен иметь поле легкого вскрытия («пил-эффект»), позволяющее вскрывать упаковку по всей ее длине, путем отделения верхней части от нижней. Внут</w:t>
            </w:r>
            <w:r>
              <w:rPr>
                <w:rFonts w:ascii="Times New Roman" w:hAnsi="Times New Roman"/>
                <w:sz w:val="24"/>
                <w:szCs w:val="24"/>
              </w:rPr>
              <w:t>ренняя упаковка должна иметь форму конверта и должна позволять развернуть содержимое на поверхности стола, не нарушая стерильности. На внутренней упаковке должна быть нанесена информация, содержащая артикул производителя и номер партии, срок годности, схем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атическое изображение изделия, с указанием названия каждого наименование товара, данные о производителе. Данное наименование товара, должно быть подтверждено наличием действующего регистрационного удостоверения. Изделие должно соответствовать стандарту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/>
                <w:sz w:val="24"/>
                <w:szCs w:val="24"/>
              </w:rPr>
              <w:t>Т 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N 13795-1-2011,  ГОСТ  ЕN 13795-2-2011, ГОСТ  ЕN 13795-3-2011.</w:t>
            </w:r>
          </w:p>
        </w:tc>
        <w:tc>
          <w:tcPr>
            <w:tcW w:w="6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24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24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200х80 ±0,5см одноразовая нестерильная (уп.5 шт.) Простыня должна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изготовлена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60 г/м². Мягкий, легкий материал, не раздражает кожных покровов. Простыня должна иметь ровные края, во избежание отрыва частиц материала и попадания их в операционное поле. Материал простыни не до</w:t>
            </w:r>
            <w:r>
              <w:rPr>
                <w:rFonts w:ascii="Times New Roman" w:hAnsi="Times New Roman"/>
                <w:sz w:val="24"/>
                <w:szCs w:val="24"/>
              </w:rPr>
              <w:t>лжен иметь дефектов, части полотна должны соединяться друг с другом герметично, наличие швейной прострочки недопустимо. Данное наименование товара должно быть подтверждено наличием действующего регистрационного удостоверения. Наружная упаковка должна облад</w:t>
            </w:r>
            <w:r>
              <w:rPr>
                <w:rFonts w:ascii="Times New Roman" w:hAnsi="Times New Roman"/>
                <w:sz w:val="24"/>
                <w:szCs w:val="24"/>
              </w:rPr>
              <w:t>ать высокими барьерными свойствами, иметь толщину не менее 50 мкм.</w:t>
            </w:r>
          </w:p>
        </w:tc>
        <w:tc>
          <w:tcPr>
            <w:tcW w:w="6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24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24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одноразовый стерильный.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Две стерильных одноразовых салфетки (полотенца) размером 33Х33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Халат выполнен из нетканого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материала, высоко устойчивого к проникновению жидкостей и микроорганизмов с длинными вязаными эластичными манжетами из полиэстера. Халат имеет застежку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 липучка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в области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воротника (область шеи) со стороны спины. Ширина халата в нижней части не мене</w:t>
            </w:r>
            <w:r>
              <w:rPr>
                <w:rFonts w:ascii="Times New Roman" w:hAnsi="Times New Roman"/>
                <w:sz w:val="24"/>
                <w:szCs w:val="24"/>
              </w:rPr>
              <w:t>е 170 см., длина халата – не менее 150см., длина рукава от края ворота до манжеты – не менее 85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Характеристики материалов для менее критических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зон: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Нетканый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SMMS, пл</w:t>
            </w:r>
            <w:r>
              <w:rPr>
                <w:rFonts w:ascii="Times New Roman" w:hAnsi="Times New Roman"/>
                <w:sz w:val="24"/>
                <w:szCs w:val="24"/>
              </w:rPr>
              <w:t>отность 40 г/м², 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Манжеты – 100% полиэстер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Критической зоной изделия считается  передняя часть халата и рукава. Состоит из двух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слоев: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(наружный) слой: нетканый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SMMMS, плотность 40 г/м², или эквивалент. Внутренний (нижний слой): нетканый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полипропилен,  ламинированный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полиэтиленовой пленкой плотность 38 г/м²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критической зоны изделия не менее 75 см в длину  для рукавов и 105 х 7</w:t>
            </w:r>
            <w:r>
              <w:rPr>
                <w:rFonts w:ascii="Times New Roman" w:hAnsi="Times New Roman"/>
                <w:sz w:val="24"/>
                <w:szCs w:val="24"/>
              </w:rPr>
              <w:t>0 см для передней части халата.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Каждый комплект завернут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бумагу, помещен в  индивидуальную полиэтиленовую упаковку. Части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упаковки соединены таким образом, что позволяют вскрывать упаковку с комплектом по всей ее длине, путем отделения одно</w:t>
            </w:r>
            <w:r>
              <w:rPr>
                <w:rFonts w:ascii="Times New Roman" w:hAnsi="Times New Roman"/>
                <w:sz w:val="24"/>
                <w:szCs w:val="24"/>
              </w:rPr>
              <w:t>й ее части от другой без использования дополнительных стерильных режущих предметов.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24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24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одноразовый стерильный.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Две стерильных одноразовых салфетки (полотенца) размером 33Х33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Халат выполнен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нетканого материала, высоко устойчивого к проникновению жидкостей и микроорганизмов с длинными вязаными эластичными манжетами из полиэстера. Халат имеет застежку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 липучка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в области воротника (область шеи) со стороны спины. Ширина халата в нижней час</w:t>
            </w:r>
            <w:r>
              <w:rPr>
                <w:rFonts w:ascii="Times New Roman" w:hAnsi="Times New Roman"/>
                <w:sz w:val="24"/>
                <w:szCs w:val="24"/>
              </w:rPr>
              <w:t>ти не менее 170 см., длина халата – не менее 150см., длина рукава от края ворота до манжеты – не менее 85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Характеристики материалов для менее критических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зон: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Нетканый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SMMS, плотность 40 г/м², 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Манжеты – 100% полиэстер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Критической зоной изделия считается  передняя часть халата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рукава. Состоит из двух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слоев: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(наружный) слой: нетканый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мельблаун-мельблау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SMMMS, плотность 40 г/м², или эквивалент. Внутренний (нижний слой): нетканый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полипропилен,  ламинированный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полиэтиленовой пленкой плотность 38 г/м²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критической зоны изделия не менее 75 см в длину  для рукавов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105 х 70 см для передней части халата.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Каждый комплект завернут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бумагу, помещен в  индивидуальную полиэтиленовую упаковку. Части упаковки соединены таким образом, что позволяют вскрывать упаковку с комплектом по всей ее длине, путем отде</w:t>
            </w:r>
            <w:r>
              <w:rPr>
                <w:rFonts w:ascii="Times New Roman" w:hAnsi="Times New Roman"/>
                <w:sz w:val="24"/>
                <w:szCs w:val="24"/>
              </w:rPr>
              <w:t>ления одной ее части от другой без использования дополнительных стерильных режущих предметов.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24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24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медицинская процедурная трехслойная на резинке, с носовым фиксатором. Эффективность бактериальной фильтрации 95%,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 не более 1,8, </w:t>
            </w:r>
            <w:r>
              <w:rPr>
                <w:rFonts w:ascii="Times New Roman" w:hAnsi="Times New Roman"/>
                <w:sz w:val="24"/>
                <w:szCs w:val="24"/>
              </w:rPr>
              <w:t>тип сложения Омега.</w:t>
            </w:r>
          </w:p>
        </w:tc>
        <w:tc>
          <w:tcPr>
            <w:tcW w:w="6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500 000</w:t>
            </w:r>
          </w:p>
        </w:tc>
        <w:tc>
          <w:tcPr>
            <w:tcW w:w="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24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24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2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эквивалент. </w:t>
            </w:r>
            <w:r>
              <w:rPr>
                <w:rFonts w:ascii="Times New Roman" w:hAnsi="Times New Roman"/>
                <w:sz w:val="24"/>
                <w:szCs w:val="24"/>
              </w:rPr>
              <w:t>Нестерильно упаковано.</w:t>
            </w:r>
          </w:p>
        </w:tc>
        <w:tc>
          <w:tcPr>
            <w:tcW w:w="6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A1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500 000</w:t>
            </w:r>
          </w:p>
        </w:tc>
        <w:tc>
          <w:tcPr>
            <w:tcW w:w="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24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4399" w:rsidRDefault="00E24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48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E24399" w:rsidRDefault="00EA1822" w:rsidP="00EA1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48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E24399" w:rsidRDefault="00EA18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48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E24399" w:rsidRDefault="00E24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E24399" w:rsidRDefault="00EA1822" w:rsidP="00EA18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48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E24399" w:rsidRDefault="00EA1822" w:rsidP="00EA1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21.06.2021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8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E24399" w:rsidRDefault="00EA1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8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8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8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1764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2732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E24399" w:rsidRDefault="00E24399">
            <w:pPr>
              <w:rPr>
                <w:szCs w:val="16"/>
              </w:rPr>
            </w:pP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E24399" w:rsidRDefault="00EA1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24399" w:rsidTr="00EA182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E24399" w:rsidRDefault="00EA1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A182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4399"/>
    <w:rsid w:val="00E24399"/>
    <w:rsid w:val="00EA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848D0-FC99-41B3-9665-C31954A0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1397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2021-06-18T10:48:00Z</dcterms:created>
  <dcterms:modified xsi:type="dcterms:W3CDTF">2021-06-18T10:50:00Z</dcterms:modified>
</cp:coreProperties>
</file>