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7"/>
        <w:gridCol w:w="2023"/>
        <w:gridCol w:w="2612"/>
        <w:gridCol w:w="757"/>
        <w:gridCol w:w="923"/>
        <w:gridCol w:w="1125"/>
        <w:gridCol w:w="1870"/>
        <w:gridCol w:w="846"/>
      </w:tblGrid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RPr="00C47FDA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P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C47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47FD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47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47FD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47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7FD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szCs w:val="16"/>
                <w:lang w:val="en-US"/>
              </w:rPr>
            </w:pPr>
          </w:p>
        </w:tc>
      </w:tr>
      <w:tr w:rsidR="00BA0464" w:rsidRPr="00C47FDA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P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FDA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Pr="00C47FDA" w:rsidRDefault="00BA0464">
            <w:pPr>
              <w:rPr>
                <w:szCs w:val="16"/>
                <w:lang w:val="en-US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</w:t>
            </w:r>
            <w:r>
              <w:rPr>
                <w:rFonts w:ascii="Times New Roman" w:hAnsi="Times New Roman"/>
                <w:sz w:val="24"/>
                <w:szCs w:val="24"/>
              </w:rPr>
              <w:t>019 г. №.829-19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C47FDA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03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7FDA" w:rsidRDefault="00C47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7FDA" w:rsidRDefault="00C47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7FDA" w:rsidRDefault="00C47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7FDA" w:rsidRDefault="00C47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7FDA" w:rsidRDefault="00C47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7FDA" w:rsidRDefault="00C47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7FDA" w:rsidRDefault="00C47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C47FDA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03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лабораторное и аптечное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Диапазон измерения показателей преломления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1,2 до 1,7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Диапазон измерений массовой доли сухих веществ (сахарозы) в растворе от 0 до 100%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Цена деления шкалы 5х10-4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Сходимость показаний показателя преломления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более 5х10-5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Условия эксплуатации рефрактометра: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температура +18 … +20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°С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>- относительная влажность 80%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Предел допускаемой основной абсолютной погрешности измерений: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по показателю преломления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±1х10-4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по средней дисперсии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±1.5х10-4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Установленная безотказная наработка, не менее 16000 циклов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Габаритные размеры прибора без термометра,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не более 170×115×270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Масса, кг, не более 3,0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Масса рефрактометра с принадлежностями, кг, не более 4,0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Источник питания (220±22) В, 50 или 60 Гц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7FDA" w:rsidRDefault="00C4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30 календарных дней с </w:t>
            </w:r>
            <w:r>
              <w:rPr>
                <w:rFonts w:ascii="Times New Roman" w:hAnsi="Times New Roman"/>
                <w:sz w:val="28"/>
                <w:szCs w:val="28"/>
              </w:rPr>
              <w:t>момента заключения государственного контракта.</w:t>
            </w: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электронной почте zakupki@medgorod.ru egorov@medgorod.ru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17.09.2019 17:00:00 по местному </w:t>
            </w:r>
            <w:r>
              <w:rPr>
                <w:rFonts w:ascii="Times New Roman" w:hAnsi="Times New Roman"/>
                <w:sz w:val="28"/>
                <w:szCs w:val="28"/>
              </w:rPr>
              <w:t>времени.</w:t>
            </w: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/Куликова И.О./</w:t>
            </w: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A0464" w:rsidRDefault="00BA0464">
            <w:pPr>
              <w:rPr>
                <w:szCs w:val="16"/>
              </w:rPr>
            </w:pP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A0464" w:rsidTr="00C4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A0464" w:rsidRDefault="00C47F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 Константин Павлович, тел. 220-02-91</w:t>
            </w:r>
          </w:p>
        </w:tc>
      </w:tr>
    </w:tbl>
    <w:p w:rsidR="00000000" w:rsidRDefault="00C47FDA"/>
    <w:sectPr w:rsidR="00000000" w:rsidSect="00BA04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BA0464"/>
    <w:rsid w:val="00BA0464"/>
    <w:rsid w:val="00C4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A046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Чижевский</cp:lastModifiedBy>
  <cp:revision>2</cp:revision>
  <dcterms:created xsi:type="dcterms:W3CDTF">2019-09-13T02:44:00Z</dcterms:created>
  <dcterms:modified xsi:type="dcterms:W3CDTF">2019-09-13T02:44:00Z</dcterms:modified>
</cp:coreProperties>
</file>