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07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492"/>
        <w:gridCol w:w="1954"/>
        <w:gridCol w:w="660"/>
        <w:gridCol w:w="752"/>
        <w:gridCol w:w="858"/>
        <w:gridCol w:w="1228"/>
        <w:gridCol w:w="1175"/>
        <w:gridCol w:w="977"/>
        <w:gridCol w:w="1123"/>
      </w:tblGrid>
      <w:tr w:rsidR="00B06DEA" w14:paraId="769E5E2B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4D4DAB0B" w14:textId="77777777" w:rsidR="00B06DEA" w:rsidRDefault="00E06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7A7988B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bottom"/>
          </w:tcPr>
          <w:p w14:paraId="3393D447" w14:textId="77777777" w:rsidR="00B06DEA" w:rsidRDefault="00E06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221" w:type="dxa"/>
            <w:shd w:val="clear" w:color="auto" w:fill="auto"/>
            <w:vAlign w:val="bottom"/>
          </w:tcPr>
          <w:p w14:paraId="49438215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DE234BF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A0E6A6A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61534FC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7DEF697E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348F816C" w14:textId="77777777" w:rsidR="00B06DEA" w:rsidRDefault="00E06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064D1FF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6D8DB3C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85F5E19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DA9AA04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0EC397D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16648AC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BFEEDA2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1FBDC223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64AEFA89" w14:textId="77777777" w:rsidR="00B06DEA" w:rsidRDefault="00E06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7CE4C09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047CF2F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DE416B7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2483FC0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68C27759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7697FEE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55D84D4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0A552D78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4DCD7BC6" w14:textId="77777777" w:rsidR="00B06DEA" w:rsidRDefault="00E06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F124A92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BC3B59A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E1ACABB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4E05673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D6176FC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F1E6907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CB01651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695DE365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00BE1ACE" w14:textId="77777777" w:rsidR="00B06DEA" w:rsidRDefault="00E06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8170BE2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72F95AC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78DD226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6C3B1C0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C870A8F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3ACFACC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E1E3ED8" w14:textId="77777777" w:rsidR="00B06DEA" w:rsidRDefault="00B06DEA">
            <w:pPr>
              <w:rPr>
                <w:szCs w:val="16"/>
              </w:rPr>
            </w:pPr>
          </w:p>
        </w:tc>
      </w:tr>
      <w:tr w:rsidR="00B06DEA" w:rsidRPr="00E06749" w14:paraId="50425FA3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51E98E81" w14:textId="77777777" w:rsidR="00B06DEA" w:rsidRPr="00E06749" w:rsidRDefault="00E0674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0674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E06749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80CCB86" w14:textId="77777777" w:rsidR="00B06DEA" w:rsidRPr="00E06749" w:rsidRDefault="00B06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DE8934B" w14:textId="77777777" w:rsidR="00B06DEA" w:rsidRPr="00E06749" w:rsidRDefault="00B06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E678641" w14:textId="77777777" w:rsidR="00B06DEA" w:rsidRPr="00E06749" w:rsidRDefault="00B06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4963592" w14:textId="77777777" w:rsidR="00B06DEA" w:rsidRPr="00E06749" w:rsidRDefault="00B06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191E03C" w14:textId="77777777" w:rsidR="00B06DEA" w:rsidRPr="00E06749" w:rsidRDefault="00B06DEA">
            <w:pPr>
              <w:rPr>
                <w:szCs w:val="16"/>
                <w:lang w:val="en-US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4540821" w14:textId="77777777" w:rsidR="00B06DEA" w:rsidRPr="00E06749" w:rsidRDefault="00B06DEA">
            <w:pPr>
              <w:rPr>
                <w:szCs w:val="16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6C8CBE2" w14:textId="77777777" w:rsidR="00B06DEA" w:rsidRPr="00E06749" w:rsidRDefault="00B06DEA">
            <w:pPr>
              <w:rPr>
                <w:szCs w:val="16"/>
                <w:lang w:val="en-US"/>
              </w:rPr>
            </w:pPr>
          </w:p>
        </w:tc>
      </w:tr>
      <w:tr w:rsidR="00B06DEA" w14:paraId="3F471880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1D5BD572" w14:textId="77777777" w:rsidR="00B06DEA" w:rsidRDefault="00E06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7183919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7536740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5ACBCB2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ECFC638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3F405BE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38D3B17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C20BEDD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4813EFBD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2583B5DA" w14:textId="77777777" w:rsidR="00B06DEA" w:rsidRDefault="00E06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8E42D62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4ADE37D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DFD18E9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1B18F12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3CA52A6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3D16B1E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4075350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0DD5D0E6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3FE11108" w14:textId="77777777" w:rsidR="00B06DEA" w:rsidRDefault="00E06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85744E9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06FB72CB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76F888B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CD6428C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2C3A6B1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6DE7FC2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0D81CCD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3D204188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5EBBB4A9" w14:textId="475D9249" w:rsidR="00B06DEA" w:rsidRDefault="00E06749" w:rsidP="00E06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2 022 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№._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802-2022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20E9E92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5E62572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9378185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7170B5DD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BFDC45E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162FEFA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DDC7277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2D9527C1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197ED374" w14:textId="77777777" w:rsidR="00B06DEA" w:rsidRDefault="00E06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182C2D6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00796057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B719FDA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10E5B84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ED9BCC7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22C18BB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0BD69EA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31F6D2D1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14:paraId="4E22D754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29AB7E8B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332269D9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4A436B05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76D79B5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DE2D4E4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20E1B3F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23839B8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20B2F05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1217B13B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3438C932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6502601C" w14:textId="77777777" w:rsidR="00B06DEA" w:rsidRDefault="00E06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72DF741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9732D5D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2A01DD4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3A52E14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42E5637F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526DBBF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EC91BB4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2A37D61A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14:paraId="018B3FEF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56207336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35F0D215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72B85168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418048F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873AC81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8ADA071" w14:textId="77777777" w:rsidR="00B06DEA" w:rsidRDefault="00B06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7F0BEC7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9D3CD2E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D734556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18640162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7455" w:type="dxa"/>
            <w:gridSpan w:val="7"/>
            <w:shd w:val="clear" w:color="auto" w:fill="auto"/>
            <w:vAlign w:val="bottom"/>
          </w:tcPr>
          <w:p w14:paraId="3B1D5F77" w14:textId="77777777" w:rsidR="00B06DEA" w:rsidRDefault="00E067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68" w:type="dxa"/>
            <w:shd w:val="clear" w:color="auto" w:fill="auto"/>
            <w:vAlign w:val="bottom"/>
          </w:tcPr>
          <w:p w14:paraId="70E41EA9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A792FB4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16280567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41BC90FF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4F95D295" w14:textId="77777777" w:rsidR="00B06DEA" w:rsidRDefault="00E06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B06DEA" w14:paraId="57915DCF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134B91" w14:textId="77777777" w:rsidR="00B06DEA" w:rsidRDefault="00E06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46FE13" w14:textId="77777777" w:rsidR="00B06DEA" w:rsidRDefault="00E06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8DF73F" w14:textId="77777777" w:rsidR="00B06DEA" w:rsidRDefault="00E06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52E549" w14:textId="77777777" w:rsidR="00B06DEA" w:rsidRDefault="00E06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32DA3E" w14:textId="77777777" w:rsidR="00B06DEA" w:rsidRDefault="00E06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EB4342" w14:textId="77777777" w:rsidR="00B06DEA" w:rsidRDefault="00E06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800ED1" w14:textId="77777777" w:rsidR="00B06DEA" w:rsidRDefault="00E06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C515EF" w14:textId="77777777" w:rsidR="00B06DEA" w:rsidRDefault="00E06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E73987" w14:textId="77777777" w:rsidR="00B06DEA" w:rsidRDefault="00E06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96E9BA" w14:textId="77777777" w:rsidR="00B06DEA" w:rsidRDefault="00E06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B06DEA" w14:paraId="531ABBB5" w14:textId="77777777">
        <w:tblPrEx>
          <w:tblCellMar>
            <w:top w:w="0" w:type="dxa"/>
            <w:bottom w:w="0" w:type="dxa"/>
          </w:tblCellMar>
        </w:tblPrEx>
        <w:trPr>
          <w:trHeight w:hRule="exact" w:val="51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C8B4D9" w14:textId="77777777" w:rsidR="00B06DEA" w:rsidRDefault="00E06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CEE330" w14:textId="77777777" w:rsidR="00B06DEA" w:rsidRDefault="00E06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 с установкой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EE9A1B" w14:textId="77777777" w:rsidR="00B06DEA" w:rsidRDefault="00E06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 работы: охлаждение, обогрев, вентиляция, осушение. Охлаждение 6,8 кВт, обогрев 7,2 кВт, потребляемая мощность при охлаждении 2,11 кВт, потребляемая мощность при обогреве 1,99 кВт, класс </w:t>
            </w:r>
            <w:r>
              <w:rPr>
                <w:rFonts w:ascii="Times New Roman" w:hAnsi="Times New Roman"/>
                <w:sz w:val="24"/>
                <w:szCs w:val="24"/>
              </w:rPr>
              <w:t>энергоэффективности А, минимальный уровень шума 33 дБ, максимальный уровень шума 47 дБ, допустимая температура наружного воздуха: охлаждение от +18 до +43 °С, обогрев от –7 до +24 °С, рекомендуемая площадь до 68 м2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9AC66A" w14:textId="77777777" w:rsidR="00B06DEA" w:rsidRDefault="00E06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BAAAB9" w14:textId="77777777" w:rsidR="00B06DEA" w:rsidRDefault="00E06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34495C" w14:textId="77777777" w:rsidR="00B06DEA" w:rsidRDefault="00B06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EF1335" w14:textId="77777777" w:rsidR="00B06DEA" w:rsidRDefault="00B06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C0A85A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076534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C253EE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26E32BE6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51" w:type="dxa"/>
            <w:shd w:val="clear" w:color="auto" w:fill="auto"/>
            <w:vAlign w:val="bottom"/>
          </w:tcPr>
          <w:p w14:paraId="439FFE79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6BF23B20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46D32C4B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E5701DA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AEEE268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970A44C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15BBC66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7573ECB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910ABE4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F9F21DE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52F00113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7417DFC2" w14:textId="77777777" w:rsidR="00B06DEA" w:rsidRDefault="00E067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31.12.2022, по заявкам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заказчика..</w:t>
            </w:r>
            <w:proofErr w:type="gramEnd"/>
          </w:p>
        </w:tc>
      </w:tr>
      <w:tr w:rsidR="00B06DEA" w14:paraId="2395CE7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14:paraId="5C660972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5185488F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013D703E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D07A948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9F5EFD3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AFE2744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33520F9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83EDAAB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E57AAFC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4476FB8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1FACBCBD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451DB4C5" w14:textId="77777777" w:rsidR="00B06DEA" w:rsidRDefault="00E06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 </w:t>
            </w:r>
          </w:p>
        </w:tc>
      </w:tr>
      <w:tr w:rsidR="00B06DEA" w14:paraId="1F05C42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14:paraId="40D169F7" w14:textId="77777777" w:rsidR="00B06DEA" w:rsidRDefault="00B06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3CDAF143" w14:textId="77777777" w:rsidR="00B06DEA" w:rsidRDefault="00B06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36666A96" w14:textId="77777777" w:rsidR="00B06DEA" w:rsidRDefault="00B06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1213CEC4" w14:textId="77777777" w:rsidR="00B06DEA" w:rsidRDefault="00B06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CEFF99D" w14:textId="77777777" w:rsidR="00B06DEA" w:rsidRDefault="00B06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D47CFA8" w14:textId="77777777" w:rsidR="00B06DEA" w:rsidRDefault="00B06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6F62EC9" w14:textId="77777777" w:rsidR="00B06DEA" w:rsidRDefault="00B06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D6D84D3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D8D6825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14E136F3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05BFC82B" w14:textId="77777777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3B429E4D" w14:textId="77777777" w:rsidR="00B06DEA" w:rsidRDefault="00E06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B06DEA" w14:paraId="4B25F16F" w14:textId="77777777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551" w:type="dxa"/>
            <w:shd w:val="clear" w:color="auto" w:fill="auto"/>
            <w:vAlign w:val="bottom"/>
          </w:tcPr>
          <w:p w14:paraId="296EC515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198B7798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1677C834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0C483F65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AB4CAA0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4CE3A2A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69A0F29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F4470B0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FA3CCC8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9F3DB03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276FA75D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09AC0605" w14:textId="77777777" w:rsidR="00B06DEA" w:rsidRDefault="00E067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25.05.2022 17:00:00 по местному времени. </w:t>
            </w:r>
          </w:p>
        </w:tc>
      </w:tr>
      <w:tr w:rsidR="00B06DEA" w14:paraId="4EC12F7E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01746172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68CB10E7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51545A7D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C205A48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0345312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2263CE5B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9F0336D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EF1C98B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CCDB761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B00F4EE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3318BFD6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6447D73A" w14:textId="77777777" w:rsidR="00B06DEA" w:rsidRDefault="00E067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B06DEA" w14:paraId="6174F0CD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57844092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07ADF3FD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3775E74F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41379698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0C991758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8214171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ED867E9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F174A02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B7F0BF0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3F9CE87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79A54413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5E46C78E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5C627FAE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49C92208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442B755B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24205D7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9E6E485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9D98CDF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69FE1695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3B54E95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D949F04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3074250D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54319532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0D358897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59C5D222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151B54EB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4958ACB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7FA7C45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F7E1379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2BDC979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5E6E97F" w14:textId="77777777" w:rsidR="00B06DEA" w:rsidRDefault="00B06DE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6986C00" w14:textId="77777777" w:rsidR="00B06DEA" w:rsidRDefault="00B06DEA">
            <w:pPr>
              <w:rPr>
                <w:szCs w:val="16"/>
              </w:rPr>
            </w:pPr>
          </w:p>
        </w:tc>
      </w:tr>
      <w:tr w:rsidR="00B06DEA" w14:paraId="0558657E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72BE3085" w14:textId="77777777" w:rsidR="00B06DEA" w:rsidRDefault="00E067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B06DEA" w14:paraId="73CE6C21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2B3A39F6" w14:textId="77777777" w:rsidR="00B06DEA" w:rsidRDefault="00E067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Васильева Екатерина Юрьевна, тел.</w:t>
            </w:r>
          </w:p>
        </w:tc>
      </w:tr>
    </w:tbl>
    <w:p w14:paraId="51171F0E" w14:textId="77777777" w:rsidR="00000000" w:rsidRDefault="00E06749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DEA"/>
    <w:rsid w:val="00B06DEA"/>
    <w:rsid w:val="00E0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504F"/>
  <w15:docId w15:val="{0AE8F59C-F0F0-4193-9DD4-5C79A058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Селезнёва Светлана Владимировна</cp:lastModifiedBy>
  <cp:revision>2</cp:revision>
  <dcterms:created xsi:type="dcterms:W3CDTF">2022-05-23T00:56:00Z</dcterms:created>
  <dcterms:modified xsi:type="dcterms:W3CDTF">2022-05-23T00:57:00Z</dcterms:modified>
</cp:coreProperties>
</file>