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952"/>
        <w:gridCol w:w="2639"/>
        <w:gridCol w:w="711"/>
        <w:gridCol w:w="764"/>
        <w:gridCol w:w="974"/>
        <w:gridCol w:w="1775"/>
        <w:gridCol w:w="1485"/>
      </w:tblGrid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 w:rsidRPr="00353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Pr="00353ADB" w:rsidRDefault="00353A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3A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53A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53A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53A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53A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53A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szCs w:val="16"/>
                <w:lang w:val="en-US"/>
              </w:rPr>
            </w:pPr>
          </w:p>
        </w:tc>
      </w:tr>
      <w:tr w:rsidR="00DB2489" w:rsidRPr="00353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Pr="00353ADB" w:rsidRDefault="00353A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3AD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Pr="00353ADB" w:rsidRDefault="00DB2489">
            <w:pPr>
              <w:rPr>
                <w:szCs w:val="16"/>
                <w:lang w:val="en-US"/>
              </w:rPr>
            </w:pP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Default="00353ADB" w:rsidP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№.657-2020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2489" w:rsidRDefault="00353A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489" w:rsidRDefault="0035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ARCHITECT BRAHMS PCT является хемилюминесцентным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     Состав набора: 1. не менее 1 флакона по 8,6мл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микрочастицами, сенсибилизированными антителами к PCT (крысиными,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буфере на основе TRIS с протеиновым (бычьим) стабилизатором, крысиным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0,06% твердого вещества.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азид натрия. 2. не менее 1 флакона по 5,9 мл с акридин-меченый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мышиных,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фосфатном буфере с протеиновым (мышиными, бычьим)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стабилизатором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270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 и азид натрия. Упаковка должна быть рассчитан на не менее 100 тестов.  Реагент должен быть совместим с иммунохимическим автоматическими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анализатороми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АРХИТЕКТ i100SR и АРХИТЕКТ i2000SR.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DB24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DB24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калибровки системы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реагентов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калибровки системы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Состав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</w:t>
            </w:r>
            <w:r>
              <w:rPr>
                <w:rFonts w:ascii="Times New Roman" w:hAnsi="Times New Roman"/>
                <w:sz w:val="24"/>
                <w:szCs w:val="24"/>
              </w:rPr>
              <w:t>ра: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6 флаконов по 2 мл B·R·A·H·M·S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Калибраторов (ARCHITECT B·R·A·H·M·S PCT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Калибратор A содержит нормальную плазму крови человека.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Калибраторы B - F содержат разные концентрации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рекомбинантного PCT в фосфатном буфере.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Набор должен быть совместим с иммунохимическим автоматическими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анализатороми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АРХИТЕКТ i100SR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АРХИТЕКТ  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2000SR.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35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DB24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2489" w:rsidRDefault="00DB24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2489" w:rsidRDefault="00353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</w:t>
            </w:r>
            <w:r>
              <w:rPr>
                <w:rFonts w:ascii="Times New Roman" w:hAnsi="Times New Roman"/>
                <w:sz w:val="28"/>
                <w:szCs w:val="28"/>
              </w:rPr>
              <w:t>дней с момента заключения государственного контракта.</w:t>
            </w: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2489" w:rsidRDefault="00353A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2489" w:rsidRDefault="00353A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2489" w:rsidRDefault="00353ADB" w:rsidP="00353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27</w:t>
            </w:r>
            <w:r>
              <w:rPr>
                <w:rFonts w:ascii="Times New Roman" w:hAnsi="Times New Roman"/>
                <w:sz w:val="28"/>
                <w:szCs w:val="28"/>
              </w:rPr>
              <w:t>.07.2020 17:00:00 по местному времени.</w:t>
            </w: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2489" w:rsidRDefault="00353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B2489" w:rsidRDefault="00DB2489">
            <w:pPr>
              <w:rPr>
                <w:szCs w:val="16"/>
              </w:rPr>
            </w:pP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2489" w:rsidRDefault="00353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B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B2489" w:rsidRDefault="00353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353AD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2489"/>
    <w:rsid w:val="00353ADB"/>
    <w:rsid w:val="00DB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490A8-C539-4670-BB5B-CF21CC76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2020-07-24T07:55:00Z</dcterms:created>
  <dcterms:modified xsi:type="dcterms:W3CDTF">2020-07-24T07:56:00Z</dcterms:modified>
</cp:coreProperties>
</file>