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 w:rsidRPr="00770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Pr="0077031A" w:rsidRDefault="0077031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03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703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703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703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703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703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B0C8B" w:rsidRPr="0077031A" w:rsidRDefault="004B0C8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0C8B" w:rsidRPr="0077031A" w:rsidRDefault="004B0C8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0C8B" w:rsidRPr="0077031A" w:rsidRDefault="004B0C8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0C8B" w:rsidRPr="0077031A" w:rsidRDefault="004B0C8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0C8B" w:rsidRPr="0077031A" w:rsidRDefault="004B0C8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0C8B" w:rsidRPr="0077031A" w:rsidRDefault="004B0C8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0C8B" w:rsidRPr="0077031A" w:rsidRDefault="004B0C8B">
            <w:pPr>
              <w:rPr>
                <w:lang w:val="en-US"/>
              </w:rPr>
            </w:pPr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 w:rsidP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№.765-2024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 для аппаратов искусственной вентиляции лёгких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"*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измерения характеристики    Значение характеристики Инструкция по заполнению характеристик в заявке     Ед. изм.    Количество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27.20.23.120                         Аккумуляторная батарея Модель      5703153-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07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</w:t>
            </w:r>
            <w:r>
              <w:rPr>
                <w:rFonts w:ascii="Times New Roman" w:hAnsi="Times New Roman"/>
                <w:sz w:val="24"/>
                <w:szCs w:val="24"/>
              </w:rPr>
              <w:t>изменяться участником закупки  штука   3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12  Значение характеристики не может изменяться участником закупки      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Электрическая ёмкость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2500   Участник закупки должен указать конкретное значение 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рактеристики      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-MH   Значение характеристики не может изменяться участником закупки      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аппаратами ИВЛ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Дрегерверк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(Германия) Значение характеристики не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изменяться участником закупки      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 Приобретение аккумуляторной батареи для аппаратов искусственной вентиляции лёгких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Дрегерверк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(Германия), имеющихся у Заказчика, производится в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п.1. части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к отгрузке товара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</w:t>
            </w:r>
            <w:r>
              <w:rPr>
                <w:rFonts w:ascii="Times New Roman" w:hAnsi="Times New Roman"/>
                <w:sz w:val="24"/>
                <w:szCs w:val="24"/>
              </w:rPr>
              <w:t>60 дней с момента заключения контракта.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</w:t>
            </w:r>
            <w:r>
              <w:rPr>
                <w:rFonts w:ascii="Times New Roman" w:hAnsi="Times New Roman"/>
                <w:sz w:val="24"/>
                <w:szCs w:val="24"/>
              </w:rPr>
              <w:t>там, установленным производителем товара.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</w:t>
            </w:r>
            <w:r>
              <w:rPr>
                <w:rFonts w:ascii="Times New Roman" w:hAnsi="Times New Roman"/>
                <w:sz w:val="24"/>
                <w:szCs w:val="24"/>
              </w:rPr>
              <w:t>составных частей, не были восстановлены потребительские свойства).</w:t>
            </w:r>
          </w:p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C8B" w:rsidRDefault="007703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C8B" w:rsidRDefault="004B0C8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0C8B" w:rsidRDefault="004B0C8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0C8B" w:rsidRDefault="0077031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0C8B" w:rsidRDefault="007703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0C8B" w:rsidRDefault="0077031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0C8B" w:rsidRDefault="0077031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03.06.2024 17:00:00 по местному времени. </w:t>
            </w:r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0C8B" w:rsidRDefault="0077031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0C8B" w:rsidRDefault="004B0C8B"/>
        </w:tc>
        <w:tc>
          <w:tcPr>
            <w:tcW w:w="2535" w:type="dxa"/>
            <w:shd w:val="clear" w:color="auto" w:fill="auto"/>
            <w:vAlign w:val="bottom"/>
          </w:tcPr>
          <w:p w:rsidR="004B0C8B" w:rsidRDefault="004B0C8B"/>
        </w:tc>
        <w:tc>
          <w:tcPr>
            <w:tcW w:w="3315" w:type="dxa"/>
            <w:shd w:val="clear" w:color="auto" w:fill="auto"/>
            <w:vAlign w:val="bottom"/>
          </w:tcPr>
          <w:p w:rsidR="004B0C8B" w:rsidRDefault="004B0C8B"/>
        </w:tc>
        <w:tc>
          <w:tcPr>
            <w:tcW w:w="1125" w:type="dxa"/>
            <w:shd w:val="clear" w:color="auto" w:fill="auto"/>
            <w:vAlign w:val="bottom"/>
          </w:tcPr>
          <w:p w:rsidR="004B0C8B" w:rsidRDefault="004B0C8B"/>
        </w:tc>
        <w:tc>
          <w:tcPr>
            <w:tcW w:w="1275" w:type="dxa"/>
            <w:shd w:val="clear" w:color="auto" w:fill="auto"/>
            <w:vAlign w:val="bottom"/>
          </w:tcPr>
          <w:p w:rsidR="004B0C8B" w:rsidRDefault="004B0C8B"/>
        </w:tc>
        <w:tc>
          <w:tcPr>
            <w:tcW w:w="1470" w:type="dxa"/>
            <w:shd w:val="clear" w:color="auto" w:fill="auto"/>
            <w:vAlign w:val="bottom"/>
          </w:tcPr>
          <w:p w:rsidR="004B0C8B" w:rsidRDefault="004B0C8B"/>
        </w:tc>
        <w:tc>
          <w:tcPr>
            <w:tcW w:w="2100" w:type="dxa"/>
            <w:shd w:val="clear" w:color="auto" w:fill="auto"/>
            <w:vAlign w:val="bottom"/>
          </w:tcPr>
          <w:p w:rsidR="004B0C8B" w:rsidRDefault="004B0C8B"/>
        </w:tc>
        <w:tc>
          <w:tcPr>
            <w:tcW w:w="1995" w:type="dxa"/>
            <w:shd w:val="clear" w:color="auto" w:fill="auto"/>
            <w:vAlign w:val="bottom"/>
          </w:tcPr>
          <w:p w:rsidR="004B0C8B" w:rsidRDefault="004B0C8B"/>
        </w:tc>
        <w:tc>
          <w:tcPr>
            <w:tcW w:w="1650" w:type="dxa"/>
            <w:shd w:val="clear" w:color="auto" w:fill="auto"/>
            <w:vAlign w:val="bottom"/>
          </w:tcPr>
          <w:p w:rsidR="004B0C8B" w:rsidRDefault="004B0C8B"/>
        </w:tc>
        <w:tc>
          <w:tcPr>
            <w:tcW w:w="1905" w:type="dxa"/>
            <w:shd w:val="clear" w:color="auto" w:fill="auto"/>
            <w:vAlign w:val="bottom"/>
          </w:tcPr>
          <w:p w:rsidR="004B0C8B" w:rsidRDefault="004B0C8B"/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0C8B" w:rsidRDefault="0077031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0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0C8B" w:rsidRDefault="0077031A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77031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C8B"/>
    <w:rsid w:val="004B0C8B"/>
    <w:rsid w:val="007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1F5C6-40DB-4617-A95C-611DB568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2024-05-29T06:04:00Z</dcterms:created>
  <dcterms:modified xsi:type="dcterms:W3CDTF">2024-05-29T06:04:00Z</dcterms:modified>
</cp:coreProperties>
</file>