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5"/>
        <w:gridCol w:w="1911"/>
        <w:gridCol w:w="3094"/>
        <w:gridCol w:w="714"/>
        <w:gridCol w:w="778"/>
        <w:gridCol w:w="1016"/>
        <w:gridCol w:w="1917"/>
        <w:gridCol w:w="964"/>
      </w:tblGrid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 w:rsidRPr="00E7698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Pr="00E76986" w:rsidRDefault="00E769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7698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Pr="00E76986" w:rsidRDefault="00096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Pr="00E76986" w:rsidRDefault="00096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Pr="00E76986" w:rsidRDefault="00096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Pr="00E76986" w:rsidRDefault="00096B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Pr="00E76986" w:rsidRDefault="00096BF6">
            <w:pPr>
              <w:rPr>
                <w:szCs w:val="16"/>
                <w:lang w:val="en-US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 w:rsidP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г. №.75-2021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</w:t>
            </w:r>
            <w:r>
              <w:rPr>
                <w:rFonts w:ascii="Times New Roman" w:hAnsi="Times New Roman"/>
                <w:sz w:val="28"/>
                <w:szCs w:val="28"/>
              </w:rPr>
              <w:t>или эквивалент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BF6" w:rsidRDefault="00E769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санации раневой поверхности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Равномерное орошение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пусльсирующем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режиме одновременно с очисткой (аспирацией) раны при ортопедических операциях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Рукоятка одноразовая, неразборная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Кулисный переключатель, регулирующий величину давления подаваемой жидкости, меняя силу нажатия пальцем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Пода</w:t>
            </w:r>
            <w:r>
              <w:rPr>
                <w:rFonts w:ascii="Times New Roman" w:hAnsi="Times New Roman"/>
                <w:sz w:val="24"/>
                <w:szCs w:val="24"/>
              </w:rPr>
              <w:t>ваемое давление жидкости1,2 до 29 PSI (фунт на квадратный дюйм (0,07 кг/см2))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Механизм фиксации наконечника с принудительной блокировкой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Наконечник высокопроизводительный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одноразоваый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Тип распыления жидкости для операций на бедре Веерный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распыления жид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кости для операций на колене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Брызгозащита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Длина наконечника Не менее 12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Подача жидкости в наконечнике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Аспирация жидкости 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наконечнике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Система параллельных трубок для подачи и эвакуации жидкости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Батарейная упаковка, расположенная отдельно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рукоятки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Работа от переменного тока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Аугмент бедренный дистальный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Бедренный блоки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выпускаться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двух типоразмеров по толщине:  5 до 10 мм и нескольких типов по форме – дистальные. передние, задние (для замещения костного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дефекта бедренной кости). Материал титановый сплав. Блок должен иметь покрытие из полиметилметакрилата PMMA для улучшенной фиксации костным цементом. Механизм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фиксации  блока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большеберцовом плато  должен осуществляться  при помощи  фиксирующего винта, в</w:t>
            </w:r>
            <w:r>
              <w:rPr>
                <w:rFonts w:ascii="Times New Roman" w:hAnsi="Times New Roman"/>
                <w:sz w:val="24"/>
                <w:szCs w:val="24"/>
              </w:rPr>
              <w:t>ходящего в комплект поставки, или цементом.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Аугмент бедренный задний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Бедренный блоки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выпускаться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двух типоразмеров по толщине:  5 до 10 мм и нескольких типов по форме – дистальные. передние, задние (для замещения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костного дефекта бедренной кости). Материал титановый сплав. Блок должен иметь покрытие из полиметилметакрилата PMMA для улучшенной фиксации костным цементом. Механизм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фиксации  блока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большеберцовом плато  должен осуществляться  при помощи  фиксирующего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винта, входящего в комплект поставки, или цементом.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Аугмент опорный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Трабекулар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Металл"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Пористая танталовая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полуэллипсоидная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конструкция: цельная, с наличием трёх стандартных отверстий для фиксации винтами, с объёмной пористостью не менее 70%,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размером пор 550mm. Спектр поставляемых размеров: 10мм, 15мм, 20мм и 30 мм. Конструкция должна использоваться при установки ревизионной чашки с тонким слоем цемента, закрепляться костными винтами.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RHK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выпускаться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двух типоразмеров по толщине:  5 до 10 мм для замещения костного дефекта большеберцовой. Материал титановый сплав. Блок должен иметь покрытие из полиметилметакрилата PMMA для улучшенной фиксации костным цементо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Механизм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фиксации  блока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большеберцовом плато  должен осуществляться  при помощи  фиксирующего винта, входящего в комплект поставки, или цементом.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Вкладыш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Longevity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(Вкладыш для чашки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сверхвысокомолекулярного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полиэтилена UHMWPE, обладает средней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крестосвязанностью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(обработан радиацией в дозе 3 мрад (30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кГр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  имеет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централизующий пост, а также поставляется 2-х видов: с 0° и 10°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элевацией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Запорный механизм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вкладыша  конусовидный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дает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антиротационными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выступами по внешней поверхности края. Размер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вкладыша  соответствует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размеру вертлужного компонента. Метод стерилизации – гамма-облучение в инертном газе.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Вкладыш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Вкладыш предназначен для цементной фиксации.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износоустойчивого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сверхвысокомолекулярного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полиэтилена. Наружный диаметр диапазон от 42 мм до 64 мм с шагом 2 мм. Позволяет использовать головки диаметром Ø28. По наружному контуру вкладыша имеются специальные кольцевые проточки с обратным упорным проф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илем граней и поперечные выемки от краев к центру полусферы для равномерного распределения цементной мантии. Вкладыш имеет специальный конический ободок по внутреннему краю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импиджмента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компонентов. Вкладыш имеет исполнение без козырька и с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озырьком с углом подъема 10° и с углом подъема 15°. По нижнему диаметру проходит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рентгенконтрастное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кольцо. Вкладыш имеет гравировку и поставляется в стерильном исполнении в тройной стерильной упаковке. Размеры по согласованию с Заказчиком.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Головка V 40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Co-Cr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сплава, посредством высокоэнергетического бомбардирования азотом, для снижения коэффициента трения в паре с полиэтиленом. Варианты диаметра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головки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чем составлять 28мм, 32мм, 36мм., 40мм, 44мм.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Диапозон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глубины п</w:t>
            </w:r>
            <w:r>
              <w:rPr>
                <w:rFonts w:ascii="Times New Roman" w:hAnsi="Times New Roman"/>
                <w:sz w:val="24"/>
                <w:szCs w:val="24"/>
              </w:rPr>
              <w:t>осадки конуса ножки в головку не менее чем -5,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0,+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5,+10 мм. Посадочный конус 11.3/12.36мм (11/13).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Головка бедренная металлическая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Изготовлена из кованного сплава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CoCrMo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диаметром 28, 32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36  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имеется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типоразмеров по длине для изменения </w:t>
            </w:r>
            <w:r>
              <w:rPr>
                <w:rFonts w:ascii="Times New Roman" w:hAnsi="Times New Roman"/>
                <w:sz w:val="24"/>
                <w:szCs w:val="24"/>
              </w:rPr>
              <w:t>офсета, конус шейки - 12/14.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Кольцо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ацетабулярное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Мюллер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Антипротрузионный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 для укрепления вертлужной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впадины  должен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быть изготовлен из титанового  сплава титан-алюминий-ниобий, соответствующего международному стандарту  ISO-5832-2,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быть выполнен в форме кольца, с двумя расширяющимися в разные стороны фланцами длиной не менее 33 мм и не более 38 мм, имеющими отверстия для винтов и предназначенными для фиксации компонента. Количество отверстий не менее 8.  Для установки компоне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нта должно использоваться 5-7 винтов. Компоненты должны бать анатомическими, правыми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левыми,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иметь не менее 8 типоразмеров: не менее 4 правых и не менее 4  левых. Первичная фиксация методом пресс-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вторичная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остеоинтеграция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Фиксация полиэтиленов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чашки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цементная.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 бедренный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ЛССК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Металлический для цементной фиксации, изготовленный из сплава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Co-Cr-Mo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(ISO 5932-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1996). Компоненты должны быть двух типов - правые и левые. Компоненты должны иметь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гиперсгибания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использования их у больных с отсутствием крестообразных связок и боковой нестабильностью, медиально-латеральные размеры 60-76,5мм,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передне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-задние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53,5-70,5мм. Должен применяться для ре-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коленного сус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тава. Количество типоразмеров - не менее 5-ти стандартных. Покрытие внутреннее - тонкий слой костного цемента PMMA.  Каждому типоразмеру бедренного компонента по ширине должно соответствовать не менее 2 типов полиэтиленовых прокладок. Возможность фиксации </w:t>
            </w:r>
            <w:r>
              <w:rPr>
                <w:rFonts w:ascii="Times New Roman" w:hAnsi="Times New Roman"/>
                <w:sz w:val="24"/>
                <w:szCs w:val="24"/>
              </w:rPr>
              <w:t>удлинительных ножек.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 вертлужный (чашка)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Continuum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Вертлужный компонент - чашка должна изготавливаться из сплава Ti-6Al-4V (ISO 5832-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1996), должна  иметь покрытие из тантала, способствующее достижению высокой первичной стабильности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диспластических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случаях, толщиной от 2.7 до 4.6 мм. Танталовое покрытие должно иметь объёмную пористость не менее 70%, с размером пор 550</w:t>
            </w:r>
            <w:r>
              <w:rPr>
                <w:rFonts w:ascii="Times New Roman" w:hAnsi="Times New Roman"/>
                <w:sz w:val="24"/>
                <w:szCs w:val="24"/>
              </w:rPr>
              <w:t>m. Количество отверстий для фиксации винтами не менее трёх, с равномерным или кластерным расположением, в дне чашки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должно быть расположено сквозное отверстие с резьбой для фиксации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Спектр размеров чашек (внешний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диаметр)–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48мм до 68мм. Запорный механизм чашки должен быть конусовидным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выполнен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антиротационными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выемками для вкладыша по внутренней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верхности края. Конструкция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чашки  должна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позволять использование вкладышей 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сверхмодульного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крестосвязанного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полиэтилена,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кобальтхромового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сплава и циркониевой керамики под головки диаметром 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компонент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универсальный (для левой и правой голени), модульный с возможностью сохранения/замещения задней крестообразной связки.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Материал:  сплав Ti-6Al-4V (ISO 5832-3..1996)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фиксации:  цементный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Конструктивные особенности: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Имплантируемая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поверхность имеет тонкий слой костного цемента PMMA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Компонент  оснащается прямыми или офсетными удлинительными штифтами длиной 100 мм для стабилизации 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Компонент имеет возможность установки бедренных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блоков толщиной 5 и 10 мм р</w:t>
            </w:r>
            <w:r>
              <w:rPr>
                <w:rFonts w:ascii="Times New Roman" w:hAnsi="Times New Roman"/>
                <w:sz w:val="24"/>
                <w:szCs w:val="24"/>
              </w:rPr>
              <w:t>азличной конфигурации для замещения костных дефектов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Тип запорного механизма для полиэтиленовой прокладки - защелкивающийся. Каждому типоразмеру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компонента по ширине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соответствует 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типа  полиэтиленовых прокладок.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Размеры: размерный  ряд соста</w:t>
            </w:r>
            <w:r>
              <w:rPr>
                <w:rFonts w:ascii="Times New Roman" w:hAnsi="Times New Roman"/>
                <w:sz w:val="24"/>
                <w:szCs w:val="24"/>
              </w:rPr>
              <w:t>вляет 10 размеров, из них: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6-ть стандартных (3, 4, 5, 6, 7, 8), с возможностью поставки 2-х – микро (1, 2) и  2-х макро (9, 10).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Лезвие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осцилляторное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GTS длина среза 90 мм, ширина среза 19 мм, толщина 1,19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 быть совместимо с пилой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осцилляторной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Должно быть стерильным. Должно иметь зубцы не менее 3 мм. Лезвие должно иметь длину среза 90 мм, ширину среза 19 мм, толщину 1,19 мм. Материал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нержавеющая сталь.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Лезвие реципрокное двустороннее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 быть совместимо с пилой </w:t>
            </w:r>
            <w:r>
              <w:rPr>
                <w:rFonts w:ascii="Times New Roman" w:hAnsi="Times New Roman"/>
                <w:sz w:val="24"/>
                <w:szCs w:val="24"/>
              </w:rPr>
              <w:t>реципрокной. Должно быть стерильным. Лезвие должно иметь длину среза 76 мм, ширину среза 13мм, толщину 0.89 мм. Материал - нержавеющая сталь.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Аллоклассик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бесцементная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Бедренный компонент должен быть изготовлен методом изотермической </w:t>
            </w:r>
            <w:r>
              <w:rPr>
                <w:rFonts w:ascii="Times New Roman" w:hAnsi="Times New Roman"/>
                <w:sz w:val="24"/>
                <w:szCs w:val="24"/>
              </w:rPr>
              <w:t>ковки, из титанового сплава, не содержащего аллергенного ванадия, должен соответствовать международному стандарту ISO-5832-2. Компонент должен иметь трехмерную клиновидной формы конфигурацию, с острыми гранями в проксимальной и дистальной части имплантата,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быть самоцентрирующимся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шероховатой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поверхностью, конусом 12/14 мм. Компонент должен иметь не менее 14 типоразмеров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шеечно-диафизарным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углом 131°. В проксимальной части имплантата в латеральной зоне должно иметься не менее четырех рядных отвер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стий. С увеличением типоразмера должна возрастать длина шейки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Фиксация: первичная - «вклинивание» конуса ножки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медуллярный канал бедренной кости с опорой граней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проксимальной части бедренной кости.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Вторич</w:t>
            </w:r>
            <w:r>
              <w:rPr>
                <w:rFonts w:ascii="Times New Roman" w:hAnsi="Times New Roman"/>
                <w:sz w:val="24"/>
                <w:szCs w:val="24"/>
              </w:rPr>
              <w:t>ная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остеоинтеграция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Ножка тотального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тазобедренного сустава цементной фиксации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ножки Клиновидная,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безворотничковая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допускается контакта ножки с костью. Тип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фиксации  ножки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биологических тканях На костный цемент.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ножки Металлический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высокополированный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сплав высокой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твёрдости.Поверхность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Высокополированная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Шеечно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угол  125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º Посадочный конус головки 5º 40´, 11.3/12.36 мм. Варианты размеров офсетов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ножки  37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,5  мм. Максимальная длина ножки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полной системе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260 мм Возможность использования стандартной ножки для ревизии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централизатора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 комплекте поставки - 2-а типа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направителями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без них). Наличие полости внутри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централизатора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одетом на ножку 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централизатора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лиметилметакрилат (PMMA).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Ножка Вагнера ревизионная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Гемиопротез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тазобедренного сустава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титанового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ножкой полной фиксации. Изготовлен из сплава титана.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 немагнитный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биологически инертный и пригодный для длительного пребывания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организме человека. Ножка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протеза  рассчитана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врастание в кость,  имеет шероховатую поверхность с величиной пор (шероховатостью) 4-6 мкм. Структура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поверхности  обеспечивает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истинное врастание, нарастание кости. Первичная стабильность ножек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обеспечивается за счет их имплантации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Геометрия бедренных компонентов: прямые ножки с прямоугольным поперечным сечением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мультиконусным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клиновидным сужением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трех плоскостях по направлению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истмальной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бедренного канала.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Шейка  имеет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нус  12/14 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Шеечно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угол  составляет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130 градусов.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Ножка Вагнера ревизионная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Ревизионный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использования в случаях интенсивной резорбции кости, когда цементная фиксация затруднена или невозможна при тонком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кортикале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же для ревизионных случаев после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оскольчатых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переломов верхней трети бедренной кости и корригирующих остеотомий. Бедренный ревизионный компонент, изготовленный методом изотермической ковки, из титанового сплава не содержащий аллергенного ванадия,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тветствующий международному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стандарту  ISO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-582-11. Компонент должен иметь не менее 33 типоразмеров меняющихся по длине  (225-305мм) и диаметром (14-25мм),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шеечно-диафизарный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угол 135° . Конструктивно ножка должна иметь конусовидную форму с углом конуса 2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радуса и заостренными ребрами, улучшающими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антиротационную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стабильность и увеличивающими площадь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остеоинтеграции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Первичная фиксация методом пресс-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вторичная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остеоинтеграция</w:t>
            </w:r>
            <w:proofErr w:type="spell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Ножка-удлинитель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офсетная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прямых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офсетных удлинительных штифтов из титанового сплава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бесцементной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фиксации длиной от 100 до 200 мм для стабилизации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бедренного компонентов. Размерность: должно быть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предусмотрено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12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типоразмеров прямых стержней диаметром 10-20 мм с ш</w:t>
            </w:r>
            <w:r>
              <w:rPr>
                <w:rFonts w:ascii="Times New Roman" w:hAnsi="Times New Roman"/>
                <w:sz w:val="24"/>
                <w:szCs w:val="24"/>
              </w:rPr>
              <w:t>агом в 1мм и не менее 8 типоразмеров офсетных стержней диаметром 11-18мм . Материал титановый сплав. Механизм фиксации- клин в сочетании с зажимными винтами, входящими в комплект поставки.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Кабельная система с фиксирующим механизмом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Проволока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соединения костных отломков путем проведения шовного материала вокруг кости должен представлять собой витой трос диаметром 1.8мм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длиной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560мм. Материал нержавеющая сталь с механизмом для фиксации на концах.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Полублок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выпускаться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двух типоразмеров по толщине:  5 до 10 мм для замещения костного дефекта большеберцовой. Материал титановый сплав. Блок должен иметь покрытие из полиметилметакрилата PMMA для улучшенной фиксации костным цементо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Механизм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фиксации  блока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большеберцовом плато  должен осуществляться  при помощи  фиксирующего винта, входящего в комплект поставки, или цементом.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ЛССК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Вкладыш   коленного сустава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сoхранения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Задней Крестообразной Связки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ревизионного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эндопротезирования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Полиэтиленовая прокладка из высокомолекулярного полиэтилена UHMWPE (ISO 5834-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1998) жесткой фиксации методом защелкивания  и фиксации винтом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компоненте: не менее 3-х типоразм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еров по ширине и  типоразмеров по высоте 10,12,14,17,20,23мм.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Прокладка должна иметь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удлиненнный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большеберцовый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клык, способствующий тесному совмещению его с межмыщелковой вырезкой  для обеспечения стабильности у пациентов с функциональной недостаточность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связок, отверстие для винта для фиксации её на большеберцовом плато.  Должна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иметься  возможность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замены полиэтиленовой прокладки без удаления бедренного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Antibiotic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 эритромицином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Костный цемент должен поставляется стерильными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упаковками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 грамм порошкообразного полимера и контейнером с 20 граммами жидкого мономера. Содержит сульфат бария обеспечивающий рентген контрастность и антибиотик Эритромицин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Колистин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при смешивании д</w:t>
            </w:r>
            <w:r>
              <w:rPr>
                <w:rFonts w:ascii="Times New Roman" w:hAnsi="Times New Roman"/>
                <w:sz w:val="24"/>
                <w:szCs w:val="24"/>
              </w:rPr>
              <w:t>олжна  образовываться смесь содержащая 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Метил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метакрилат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-стерин сополимер  30,0грамм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Полиметил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метакрилат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6,0грамм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Бария сульфат                                               4,0 грамм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Эритромицин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0,5 грамм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Колестин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сульфометат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натрий              3,00 миллиона  МЕ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Также в состав цемента должен включать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Гидрохлорон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предотвращения преждевременной спонтанной полимеризации 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 костный 40 грамм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Костный цемент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должен быть двухкомпонентным полимерным материалом с высокой степенью адгезии по отношению к костной ткани, состоящим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мелкодисперсного порошка и жидкого растворителя,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полимеризующимся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смешивания при комнатной температуре. Полимер должен быть с нал</w:t>
            </w:r>
            <w:r>
              <w:rPr>
                <w:rFonts w:ascii="Times New Roman" w:hAnsi="Times New Roman"/>
                <w:sz w:val="24"/>
                <w:szCs w:val="24"/>
              </w:rPr>
              <w:t>ичием гентамицина (антибиотика), средней или высокой вязкости. Расфасовка 40 г. Должен поставляться в стерильном виде и иметь индивидуальную упаковку.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Костный 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Synicem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гентамицином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Костный цемент должен быть двухкомпонентным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полимерным материалом с высокой степенью адгезии по отношению к костной ткани, состоящим из мелкодисперсного порошка и жидкого растворителя,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полимеризующимся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смешивания при комнатной температуре. Полимер должен быть с наличием гентамицина (антибиотик</w:t>
            </w:r>
            <w:r>
              <w:rPr>
                <w:rFonts w:ascii="Times New Roman" w:hAnsi="Times New Roman"/>
                <w:sz w:val="24"/>
                <w:szCs w:val="24"/>
              </w:rPr>
              <w:t>а), средней или высокой вязкости. Расфасовка 40 г. Должен поставляться в стерильном виде и иметь индивидуальную упаковку.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костный средней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вязкозти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г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для фиксации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кости средней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вязкозти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40,0г. Костный цемент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представляет собой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самоотвердевающую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цементообразную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смесь, предназначенную для крепления металлических или полимерных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естественной кости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артропластических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операций, средней вязкости, с увеличенным рабочим временем. Состав: Порошок: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Метилметакрилат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Метилкрилат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сополимер (84,00%), Перекись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(1,00%), Двуокись циркония (15,00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%),Жидкость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Метилметакрилат (97,5%),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N, N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диметил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толуидин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(&lt;2,50%), Гидрохинон (75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Затвердение костного цемента средней вязкости при температу</w:t>
            </w:r>
            <w:r>
              <w:rPr>
                <w:rFonts w:ascii="Times New Roman" w:hAnsi="Times New Roman"/>
                <w:sz w:val="24"/>
                <w:szCs w:val="24"/>
              </w:rPr>
              <w:t>ре в операционной комнате 23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происходит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 80 секунд при условии, что на смешивание тратиться 40 секунд, время ожидания составляет 95 секунд, а рабочее время 325 секунд. Общее время от начала перемешивания порошкового и жидкого костного цемента до полно</w:t>
            </w:r>
            <w:r>
              <w:rPr>
                <w:rFonts w:ascii="Times New Roman" w:hAnsi="Times New Roman"/>
                <w:sz w:val="24"/>
                <w:szCs w:val="24"/>
              </w:rPr>
              <w:t>го затвердения   540 секунд при указанной выше температуре в операционной комнате. Порошок: 40 грамм, Жидкость: 20 грамм.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Вертлужная система цементной фиксации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Чашка  имеет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полусферическую форму. Чашка изготовлена из высокомолекулярного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полиэтилена, повышенной износостойкости. Тип фиксации чашки в вертлужной впадине - цементный. Диапазон размеров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чашек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48 мм до 60 мм с шагом  2 мм (конкретный типоразмер  меняется в указанных пределах в соответствии с заявкой заказчика в зависимости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размера пациента), внутренний диаметр для головки  двух размеров 28 мм и 32 мм.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Чашка  имеет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выступа для централизации в вертлужной впадине.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Предоставляется  два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варианта чашек: стандартный профиль и низкий профиль. Размер по согласованию с Заказчиком.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E7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6BF6" w:rsidRDefault="00096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 w:rsidP="00E7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</w:t>
            </w:r>
            <w:r>
              <w:rPr>
                <w:rFonts w:ascii="Times New Roman" w:hAnsi="Times New Roman"/>
                <w:sz w:val="28"/>
                <w:szCs w:val="28"/>
              </w:rPr>
              <w:t>по заявке Заказчика, с момента заключения контракта но не позднее 15.11.2021 г.</w:t>
            </w:r>
            <w:bookmarkStart w:id="0" w:name="_GoBack"/>
            <w:bookmarkEnd w:id="0"/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 w:rsidP="00E7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25.01.2021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096BF6" w:rsidRDefault="00096BF6">
            <w:pPr>
              <w:rPr>
                <w:szCs w:val="16"/>
              </w:rPr>
            </w:pP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096BF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096BF6" w:rsidRDefault="00E7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00000" w:rsidRDefault="00E7698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BF6"/>
    <w:rsid w:val="00096BF6"/>
    <w:rsid w:val="00E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5F4A3-7ADD-49D8-A125-A388E226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2800</Words>
  <Characters>15963</Characters>
  <Application>Microsoft Office Word</Application>
  <DocSecurity>0</DocSecurity>
  <Lines>133</Lines>
  <Paragraphs>37</Paragraphs>
  <ScaleCrop>false</ScaleCrop>
  <Company/>
  <LinksUpToDate>false</LinksUpToDate>
  <CharactersWithSpaces>18726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2021-01-21T10:09:00Z</dcterms:created>
  <dcterms:modified xsi:type="dcterms:W3CDTF">2021-01-21T10:10:00Z</dcterms:modified>
</cp:coreProperties>
</file>