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2209"/>
        <w:gridCol w:w="2601"/>
        <w:gridCol w:w="667"/>
        <w:gridCol w:w="722"/>
        <w:gridCol w:w="936"/>
        <w:gridCol w:w="1750"/>
        <w:gridCol w:w="1452"/>
      </w:tblGrid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22.08.2019 г. №.7</w:t>
            </w:r>
            <w:r w:rsidR="00186B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5200" w:type="dxa"/>
            <w:gridSpan w:val="3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9314" w:type="dxa"/>
            <w:gridSpan w:val="7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72155" w:rsidRPr="00186BCA" w:rsidTr="00C94391"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2155" w:rsidRPr="00186BCA" w:rsidRDefault="00C94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6BCA" w:rsidRPr="00186BCA" w:rsidTr="00C94391"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 w:val="22"/>
              </w:rPr>
            </w:pPr>
            <w:r w:rsidRPr="00186BCA">
              <w:rPr>
                <w:rFonts w:ascii="Times New Roman" w:hAnsi="Times New Roman" w:cs="Times New Roman"/>
                <w:sz w:val="22"/>
              </w:rPr>
              <w:t xml:space="preserve">Фильтр дыхательный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бактериальновирусный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Gibeck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Humid-Vent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Compact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>, сохранение тепла и влаги, СО2-порт, прямой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Бактериальновирусный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фильтр – электростатический, с эффективностью фильтрации </w:t>
            </w:r>
            <w:proofErr w:type="gramStart"/>
            <w:r w:rsidRPr="00186BCA">
              <w:rPr>
                <w:rFonts w:ascii="Times New Roman" w:hAnsi="Times New Roman" w:cs="Times New Roman"/>
                <w:sz w:val="22"/>
              </w:rPr>
              <w:t>бактерий &gt;</w:t>
            </w:r>
            <w:proofErr w:type="gramEnd"/>
            <w:r w:rsidRPr="00186BCA">
              <w:rPr>
                <w:rFonts w:ascii="Times New Roman" w:hAnsi="Times New Roman" w:cs="Times New Roman"/>
                <w:sz w:val="22"/>
              </w:rPr>
              <w:t xml:space="preserve"> 99,99%, вирусов &gt; 99,99%, влагоотдачи пациенту не менее 30 мг. Н2О/л при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Vt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1000 мл, потери влаги не более 7мг Н2О/л при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Vt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1000мл, мертвое пространство фильтра не более 35 мл, сопротивлением не более 1,8 см Н2О при 60 л/мин, для дыхательного объема 150-1000 мл. Вес фильтра не более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Тепловлагосберегающий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элемент спиралевидный, площадью не менее 1400 см2. Время эффективной фильтрации не менее 24 часа. Прозрачный корпус, наличие дополнительного порта для измерения СО2. </w:t>
            </w:r>
            <w:proofErr w:type="gramStart"/>
            <w:r w:rsidRPr="00186BCA">
              <w:rPr>
                <w:rFonts w:ascii="Times New Roman" w:hAnsi="Times New Roman" w:cs="Times New Roman"/>
                <w:sz w:val="22"/>
              </w:rPr>
              <w:t>Стерильная  индивидуальная</w:t>
            </w:r>
            <w:proofErr w:type="gramEnd"/>
            <w:r w:rsidRPr="00186BCA">
              <w:rPr>
                <w:rFonts w:ascii="Times New Roman" w:hAnsi="Times New Roman" w:cs="Times New Roman"/>
                <w:sz w:val="22"/>
              </w:rPr>
              <w:t xml:space="preserve"> упаковка.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BCA" w:rsidRPr="00186BCA" w:rsidTr="00C94391"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 w:val="22"/>
              </w:rPr>
            </w:pPr>
            <w:r w:rsidRPr="00186BCA">
              <w:rPr>
                <w:rFonts w:ascii="Times New Roman" w:hAnsi="Times New Roman" w:cs="Times New Roman"/>
                <w:sz w:val="22"/>
              </w:rPr>
              <w:t>Увлажнитель пузырьковый объем 400 мл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 w:val="22"/>
              </w:rPr>
            </w:pPr>
            <w:r w:rsidRPr="00186BCA">
              <w:rPr>
                <w:rFonts w:ascii="Times New Roman" w:hAnsi="Times New Roman" w:cs="Times New Roman"/>
                <w:sz w:val="22"/>
              </w:rPr>
              <w:t xml:space="preserve">Пузырьковый увлажнитель с устройством механической звуковой сигнализации повышения </w:t>
            </w:r>
            <w:r w:rsidRPr="00186BCA">
              <w:rPr>
                <w:rFonts w:ascii="Times New Roman" w:hAnsi="Times New Roman" w:cs="Times New Roman"/>
                <w:sz w:val="22"/>
              </w:rPr>
              <w:lastRenderedPageBreak/>
              <w:t xml:space="preserve">давления. Предназначен для пациентов на самостоятельном дыхании, нуждающихся в разных вариантах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кислородотерапии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>. Емкость - 400 мл. Рабочее давление - 4 атм. Представляет собой пластиковый прозрачный контейнер высотой 137 мм с навинчивающейся синей крышкой. Контейнер имеет двойную маркировку наполнения: "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re-fill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>" - минимальный уровень и "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max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" - максимальный уровень наполнения. Внутрь контейнера погружена выходящая из внутренней поверхности крышки трубка, оканчивающаяся наконечником из микропористого материала для распыления подаваемого кислорода. На внешней поверхности крышки в области проекции трубки имеется поворотный коннектор для присоединения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флуометра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. Патрубок для подсоединения кислородного катетера расположен на верхней поверхности крышки под </w:t>
            </w:r>
            <w:proofErr w:type="gramStart"/>
            <w:r w:rsidRPr="00186BCA">
              <w:rPr>
                <w:rFonts w:ascii="Times New Roman" w:hAnsi="Times New Roman" w:cs="Times New Roman"/>
                <w:sz w:val="22"/>
              </w:rPr>
              <w:t>углом  90</w:t>
            </w:r>
            <w:proofErr w:type="gramEnd"/>
            <w:r w:rsidRPr="00186BCA">
              <w:rPr>
                <w:rFonts w:ascii="Times New Roman" w:hAnsi="Times New Roman" w:cs="Times New Roman"/>
                <w:sz w:val="22"/>
              </w:rPr>
              <w:t xml:space="preserve">º. Увлажнитель упакован в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идивидуальную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упаковку. Изготовлен в режиме "чистых помещений". В транспортной упаковке 50 шт. Срок хранения - 5 лет.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BCA" w:rsidRPr="00186BCA" w:rsidTr="00C94391">
        <w:trPr>
          <w:trHeight w:val="60"/>
        </w:trPr>
        <w:tc>
          <w:tcPr>
            <w:tcW w:w="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 w:val="22"/>
              </w:rPr>
            </w:pPr>
            <w:r w:rsidRPr="00186BCA">
              <w:rPr>
                <w:rFonts w:ascii="Times New Roman" w:hAnsi="Times New Roman" w:cs="Times New Roman"/>
                <w:sz w:val="22"/>
              </w:rPr>
              <w:t xml:space="preserve">Фильтр дыхательный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бактериальновирусный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Gibeck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Iso-Gard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с СО2-портом, прямой</w:t>
            </w:r>
          </w:p>
        </w:tc>
        <w:tc>
          <w:tcPr>
            <w:tcW w:w="26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Бактериальновирусный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фильтр - электростатический, двухстороннего действия, </w:t>
            </w:r>
            <w:proofErr w:type="spellStart"/>
            <w:r w:rsidRPr="00186BCA">
              <w:rPr>
                <w:rFonts w:ascii="Times New Roman" w:hAnsi="Times New Roman" w:cs="Times New Roman"/>
                <w:sz w:val="22"/>
              </w:rPr>
              <w:t>фильтрирующая</w:t>
            </w:r>
            <w:proofErr w:type="spellEnd"/>
            <w:r w:rsidRPr="00186BCA">
              <w:rPr>
                <w:rFonts w:ascii="Times New Roman" w:hAnsi="Times New Roman" w:cs="Times New Roman"/>
                <w:sz w:val="22"/>
              </w:rPr>
              <w:t xml:space="preserve"> мембрана площадью не менее 19,25 см2, с эффективностью фильтрации </w:t>
            </w:r>
            <w:proofErr w:type="gramStart"/>
            <w:r w:rsidRPr="00186BCA">
              <w:rPr>
                <w:rFonts w:ascii="Times New Roman" w:hAnsi="Times New Roman" w:cs="Times New Roman"/>
                <w:sz w:val="22"/>
              </w:rPr>
              <w:t>бактерий &gt;</w:t>
            </w:r>
            <w:proofErr w:type="gramEnd"/>
            <w:r w:rsidRPr="00186BCA">
              <w:rPr>
                <w:rFonts w:ascii="Times New Roman" w:hAnsi="Times New Roman" w:cs="Times New Roman"/>
                <w:sz w:val="22"/>
              </w:rPr>
              <w:t xml:space="preserve"> 99,99%, вирусов &gt; 99,99%, мертвым пространством фильтра не более 26 мл, сопротивлением не более 1,6 см Н2О при 60л/мин, для дыхательного объема 150-1000 мл. Время эффективной фильтрации не менее 24 часа. Вес не </w:t>
            </w:r>
            <w:r w:rsidRPr="00186BCA">
              <w:rPr>
                <w:rFonts w:ascii="Times New Roman" w:hAnsi="Times New Roman" w:cs="Times New Roman"/>
                <w:sz w:val="22"/>
              </w:rPr>
              <w:lastRenderedPageBreak/>
              <w:t xml:space="preserve">более 22 грамм. Коннекторы 15M/22F-22M/15F. Прозрачный корпус, наличие дополнительного порта для измерения СО2. </w:t>
            </w:r>
            <w:proofErr w:type="gramStart"/>
            <w:r w:rsidRPr="00186BCA">
              <w:rPr>
                <w:rFonts w:ascii="Times New Roman" w:hAnsi="Times New Roman" w:cs="Times New Roman"/>
                <w:sz w:val="22"/>
              </w:rPr>
              <w:t>Стерильная  индивидуальная</w:t>
            </w:r>
            <w:proofErr w:type="gramEnd"/>
            <w:r w:rsidRPr="00186BCA">
              <w:rPr>
                <w:rFonts w:ascii="Times New Roman" w:hAnsi="Times New Roman" w:cs="Times New Roman"/>
                <w:sz w:val="22"/>
              </w:rPr>
              <w:t xml:space="preserve"> упаковка.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BCA" w:rsidRPr="00186BCA" w:rsidRDefault="00186BCA" w:rsidP="0018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BCA" w:rsidRPr="00186BCA" w:rsidRDefault="00186BCA" w:rsidP="00186BC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375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Pr="00186BCA" w:rsidRDefault="00C94391" w:rsidP="00186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 xml:space="preserve">Срок поставки: не более </w:t>
            </w:r>
            <w:r w:rsidR="00186B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72155" w:rsidRPr="00186BCA" w:rsidTr="00C94391">
        <w:trPr>
          <w:trHeight w:val="120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Pr="00186BCA" w:rsidRDefault="00C94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186BC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186BC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E72155" w:rsidRPr="00186BCA" w:rsidTr="00C94391">
        <w:trPr>
          <w:trHeight w:val="120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Pr="00186BCA" w:rsidRDefault="00C94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186BCA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186BC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2155" w:rsidRPr="00186BCA" w:rsidTr="00C94391">
        <w:trPr>
          <w:trHeight w:val="165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Pr="00186BCA" w:rsidRDefault="00C94391" w:rsidP="00C9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27.08.2019 17:00:00 по местному времени.</w:t>
            </w:r>
          </w:p>
        </w:tc>
      </w:tr>
      <w:tr w:rsidR="00E72155" w:rsidRPr="00186BCA" w:rsidTr="00C94391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Pr="00186BCA" w:rsidRDefault="00C9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2155" w:rsidRPr="00186BCA" w:rsidTr="00C94391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34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2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59" w:type="dxa"/>
            <w:shd w:val="clear" w:color="FFFFFF" w:fill="auto"/>
            <w:vAlign w:val="bottom"/>
          </w:tcPr>
          <w:p w:rsidR="00E72155" w:rsidRPr="00186BCA" w:rsidRDefault="00E72155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72155" w:rsidRPr="00186BCA" w:rsidTr="00C943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Pr="00186BCA" w:rsidRDefault="00C9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E72155" w:rsidRPr="00186BCA" w:rsidTr="00C943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72155" w:rsidRPr="00186BCA" w:rsidRDefault="00C94391" w:rsidP="00C9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BCA">
              <w:rPr>
                <w:rFonts w:ascii="Times New Roman" w:hAnsi="Times New Roman" w:cs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EC5073" w:rsidRPr="00186BCA" w:rsidRDefault="00EC5073">
      <w:pPr>
        <w:rPr>
          <w:rFonts w:ascii="Times New Roman" w:hAnsi="Times New Roman" w:cs="Times New Roman"/>
        </w:rPr>
      </w:pPr>
    </w:p>
    <w:sectPr w:rsidR="00EC5073" w:rsidRPr="00186BC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55"/>
    <w:rsid w:val="00186BCA"/>
    <w:rsid w:val="00C94391"/>
    <w:rsid w:val="00E72155"/>
    <w:rsid w:val="00E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7779-B7C0-4092-AA1D-AF6D5D6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2019-08-23T03:04:00Z</dcterms:created>
  <dcterms:modified xsi:type="dcterms:W3CDTF">2019-08-23T03:04:00Z</dcterms:modified>
</cp:coreProperties>
</file>