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0"/>
        <w:gridCol w:w="2738"/>
        <w:gridCol w:w="2792"/>
        <w:gridCol w:w="649"/>
        <w:gridCol w:w="700"/>
        <w:gridCol w:w="929"/>
        <w:gridCol w:w="1805"/>
        <w:gridCol w:w="836"/>
      </w:tblGrid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 w:rsidRPr="00420CC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67D9" w:rsidRPr="00420CCF" w:rsidRDefault="00420C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20C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20CC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20C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20CC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20C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20CC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D67D9" w:rsidRPr="00420CCF" w:rsidRDefault="004D67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67D9" w:rsidRPr="00420CCF" w:rsidRDefault="004D67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67D9" w:rsidRPr="00420CCF" w:rsidRDefault="004D67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67D9" w:rsidRPr="00420CCF" w:rsidRDefault="004D67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67D9" w:rsidRPr="00420CCF" w:rsidRDefault="004D67D9">
            <w:pPr>
              <w:rPr>
                <w:szCs w:val="16"/>
                <w:lang w:val="en-US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67D9" w:rsidRDefault="00420CCF" w:rsidP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№.73-2021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D67D9" w:rsidRDefault="00420C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D67D9" w:rsidRDefault="00420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7D9" w:rsidRDefault="00420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7D9" w:rsidRDefault="00420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7D9" w:rsidRDefault="00420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7D9" w:rsidRDefault="00420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7D9" w:rsidRDefault="00420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7D9" w:rsidRDefault="00420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7D9" w:rsidRDefault="00420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7D9" w:rsidRDefault="00420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кардиоимплантов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7Fr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 w:rsidP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Разрывной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7Fr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транссептальный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Preface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просвет сосуда, в левое предсердие.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с иглой ангиографической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Preface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Возможность поставки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Размеры:  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Катетер-электрод электрофизиологический управляемый навигационный CARTO 3 для проведения орошаемой контактной РЧА, 7,5F, D, 115см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специально предназначен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проведения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охлаждаемой» абляции по «открытому» контуру орошения. Электрод предназначен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измерения  силы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контакта дистального электрода катетера с миокардом, в граммах. Специальный канал для подвода охлаждающего раствора к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истальному электроду. Диаметр электрода 7,5F. Электромагнитные сенсоры в дистальном электроде катетера.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Сенсор в дистальном электроде катетера для передачи данных о силе контакта дистального электрода катетера с миокардом. Число отверстий на дистальном эле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ктроде для «открытого» контура орошения 6. Число электродов для регистрации внутрисердечных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4. Длина вводимой части катетера 115 см. Длина дистального электрода 3,5 мм. Типы кривизны D \F \ J \ J \ F. Предел досягаемости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кривизн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 – 64 мм,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 – 76 мм, J-102 мм. Датчик измерения температуры термопара. Совместимость со специализированным насосом для проведения «охлаждаемых» абляций по «открытому» контуру орошения. Совместимость со специализированным РЧ генератором. Совместимость с различными Э</w:t>
            </w:r>
            <w:r>
              <w:rPr>
                <w:rFonts w:ascii="Times New Roman" w:hAnsi="Times New Roman"/>
                <w:sz w:val="24"/>
                <w:szCs w:val="24"/>
              </w:rPr>
              <w:t>ФИ системами. Расстояние между центрами электродов 1-6-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Ширина электрода 1,3 мм. Диаметр орошающих отверстий 0,41 мм. Общая площадь орошающих отверстий 0,78 мм2. Толщина стенки дистального электрода 0,1 мм. Расположение навигационного датчика в 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дистального электрода. Возможность одновременной регистрации биполярный и униполярных сигналов. Материал электродов платиново-иридиевый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сплав. Оплетка вводимой части катетера 32. Оплетка рабочей части катетера 16. Материал вводимой части катетера полиуре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тан. Материал внутренних проводящих проводов медь. Материал внутренних тяг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Компрессионная пружина на внутренней тяге. Диаметр компрессионной пружины 0,1 мм. Система контроля, регулировки и фиксации микро перемещений рабочей части катетера. Плавнос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хода рабочей части катетера, отсутствие «скачков» и «мертвых зон» при перемещении рабочей части катетера. Тип разъема для подключения соединительного кабеля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Hypertronics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Катетер-электрод электрофизиологический управляемый навигационный </w:t>
            </w:r>
            <w:r>
              <w:rPr>
                <w:rFonts w:ascii="Times New Roman" w:hAnsi="Times New Roman"/>
                <w:sz w:val="24"/>
                <w:szCs w:val="24"/>
              </w:rPr>
              <w:t>CARTO 3 для проведения орошаемой контактной РЧА, 7,5F, F, 115см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специально предназначен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проведения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охлаждаемой» абляции по «открытому» контуру орошения. Электрод предназначен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измерения  силы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контакта дистального электрода катетера с миок</w:t>
            </w:r>
            <w:r>
              <w:rPr>
                <w:rFonts w:ascii="Times New Roman" w:hAnsi="Times New Roman"/>
                <w:sz w:val="24"/>
                <w:szCs w:val="24"/>
              </w:rPr>
              <w:t>ардом, в граммах. Специальный канал для подвода охлаждающего раствора к дистальному электроду. Диаметр электрода 7,5F. Электромагнитные сенсоры в дистальном электроде катетера. Сенсор в дистальном электроде катетера для передачи данных о силе контакта дист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ального электрода катетера с миокардом. Число отверстий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дистальном электроде для «открытого» контура орошения 6. Число электродов для регистрации внутрисердечных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4. Длина вводимой части катетера 115 см. Длина дистального электрода 3,5 мм.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ипы кривизны D \ F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\  J.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Предел досягаемости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кривизн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 – 64 мм, F – 76 мм, J-102 мм. Датчик измерения температуры термопара. Совместимость со специализированным насосом для проведения «охлаждаемых» абляций по «открытому» контуру орошения. Совместимость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специализированным РЧ генератором. Совместимость с различными ЭФИ системами. Расстояние между центрами электродов 1-6-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Ширина электрода 1,3 мм. Диаметр орошающих отверстий 0,41 мм. Общая площадь орошающих отверстий 0,78 мм2. Толщина стенки дистал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 электрода 0,1 мм. Расположение навигационного датчика в центре дистального электрода. Возможность одновременной регистрации биполярный и униполярных сигналов. Материал электродов платиново-иридиевый сплав. Оплетка вводимой части катетера 32. Оплетка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рабочей части катетера 16. Материал вводимой части катетера полиуретан. Материал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внутренних проводящих проводов медь. Материал внутренних тяг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Компрессионная пружина на внутренней тяге. Диаметр компрессионной пружины 0,1 мм. Система контроля, регул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ировки и фиксации микро перемещений рабочей части катетера. Плавность хода рабочей части катетера, отсутствие «скачков» и «мертвых зон» при перемещении рабочей части катетера. Тип разъема для подключения соединительного кабеля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Hypertronics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Катетер-электрод электрофизиологический ненавигационный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Celsius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тeрмопарой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плетеной дистальной частью 7F, C, 115см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управления электродом в одной плоскости. Электрод специально предназначен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проведения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неохлаждаемой» абляции. Диаметр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лектрода 7 F. Число электродов для регистрации внутрисердечных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4.  Длина вводимой части катетера 115 см. Длина дистального электрода не более 4 мм, 5 мм. Типы кривизны B, C, D, E, F. Предел досягаемости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кривизн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 -51 мм, C -64 мм, D – 64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м, Е – 64 мм, F – 76 мм. Датчик измерения температуры термопара. Совместимость со специализированным РЧ генератором. Совместимость с различными ЭФИ системами. Расстояние между центрами электродов 2-5-2 мм.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Ширина электрода 1,3 мм. Толщина стенки дистальног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электрода 0,1 мм. Возможность одновременной регистрации биполярный и униполярных сигналов. Материал электродов платиново-иридиевый сплав. Оплетка вводимой части катетера 32. Оплетка рабочей части катетера 32. Материал вводимой части катетера полиуретан.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внутренних проводящих проводов медь. Материал внутренних тяг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Компрессионная пружина на внутренней тяге. Диаметр компрессионной пружины 0,1мм. Плавность хода рабочей части катетера, отсутствие «скачков» и «мертвых зон» при перемещении рабо</w:t>
            </w:r>
            <w:r>
              <w:rPr>
                <w:rFonts w:ascii="Times New Roman" w:hAnsi="Times New Roman"/>
                <w:sz w:val="24"/>
                <w:szCs w:val="24"/>
              </w:rPr>
              <w:t>чей части катетера.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Катетер-электрод электрофизиологический неуправляемый диагностический 5F, P-CS, 110см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Неизменяемая кривизна электрода. Диаметр электрода 5F. Число электродов для регистрации внутрисердечных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10. Длина вводимой </w:t>
            </w:r>
            <w:r>
              <w:rPr>
                <w:rFonts w:ascii="Times New Roman" w:hAnsi="Times New Roman"/>
                <w:sz w:val="24"/>
                <w:szCs w:val="24"/>
              </w:rPr>
              <w:t>части катетера 110 см. Длина дистального электрода 1 мм. Типы кривизны P-CS, F, G. Совместимость с различными ЭФИ системами. Расстояние между центрами электродов 2-5-2 мм, 2-8-2 мм. Ширина электрода 1,3 мм. Толщина стенки дистального электрода 0,1 мм. Возм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ожность одновременной регистрации биполярных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униполярных сигналов. Материал электродов платиново-иридиевый сплав. Материал вводимой части катетера полиуретан.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Катетер-электрод электрофизиологический неуправляемый диагностический 6F, F, </w:t>
            </w:r>
            <w:r>
              <w:rPr>
                <w:rFonts w:ascii="Times New Roman" w:hAnsi="Times New Roman"/>
                <w:sz w:val="24"/>
                <w:szCs w:val="24"/>
              </w:rPr>
              <w:t>115см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Неизменяемая кривизна электрода. Диаметр электрода 6 F. Число электродов для регистрации внутрисердечных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10. Длина вводимой части катетера 115 см. Длина дистального электрода 1 мм. Типы кривизны P-CS, F, G. Совместимость с различными ЭФИ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системами. Расстояние между центрами электродов 2-5-2 мм, 2-8-2 мм. Ширина электрода 1,3 мм. Толщина стенки дистального электрода 0,1 мм. Возможность одновременной регистрации биполярных и униполярных сигналов. Материал электродов платиново-иридиевый спла</w:t>
            </w:r>
            <w:r>
              <w:rPr>
                <w:rFonts w:ascii="Times New Roman" w:hAnsi="Times New Roman"/>
                <w:sz w:val="24"/>
                <w:szCs w:val="24"/>
              </w:rPr>
              <w:t>в. Материал вводимой части катетера полиуретан.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сосудов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просвет сосуда.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с иглой ангиографической 18G и проводником длиной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45 см. Материал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Длина 11 см. Возможность поставки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Размеры: 8F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коронарный диаметр 0.014, длина 190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коронарный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Длина, см   175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Диаметр, дюйм   0,014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Тип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покрытия    Гидрофильный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Длина дистального покрытия,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  30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доставки левожелудочкового электрода в коронарный синус, гибкая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доставки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гибкая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Проводник: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длина, см  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диаметр, см (дюймы) </w:t>
            </w:r>
            <w:r>
              <w:rPr>
                <w:rFonts w:ascii="Times New Roman" w:hAnsi="Times New Roman"/>
                <w:sz w:val="24"/>
                <w:szCs w:val="24"/>
              </w:rPr>
              <w:t>0,09 (0,035)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Материал    Нержавеющая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Отклоняемый катетер: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длина, см   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  внутренний диаметр,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   внешний диаметр,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10  длина, см  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  внешний диаметр,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13  Материал    нержавеющая сталь, пол</w:t>
            </w:r>
            <w:r>
              <w:rPr>
                <w:rFonts w:ascii="Times New Roman" w:hAnsi="Times New Roman"/>
                <w:sz w:val="24"/>
                <w:szCs w:val="24"/>
              </w:rPr>
              <w:t>икарбонат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  Размер электрода,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 Игла, мм    1,2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 Шприц, мл   10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подачи физиологического раствора для насоса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Принадлежность насоса ирригационного для электрофизиологических процедур в кардиологии.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 для подачи физиологического раствора на электрод для проведения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охлождаемой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абляции по "открытому" контуру.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биполярной хирургической абляции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электрода – орошаемый - наличие. Длина электрода, см - 32. Тип зажима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фиксацией - наличие. Давление зажима на ткани в закрытом положении - 30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активных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см - 6. Электрод поставляется с 4-мя проводниками, предназначенными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для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электрода  в полость грудной клетки - наличие. Жесткие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фикс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аторами для проводника - наличие. Конструкция электрода – сплошная.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ткани на всем протяжении электрода, отсутствие «мертвых» пространств – наличие. Материал электрода - пористый полимер. Возможность орошения электрода на всем его протяжении – налич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ие. Полностью подвижная шейка электрода - наличие. Кнопка подачи РЧА на рукоятке - наличие. Два варианта исполнения кривизны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наличие. Принцип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трансмуральности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определение сопротивления (импеданса) ткани. Измерение сопротивления ткани,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измерений/секунду - 5 000 000. Измерение мощности применяемой энергии, измерений/секунду - 20 000. Автоматический подбор мощности в зависимости от сопротивления тканей - наличие. Длина соединительного кабеля, см - 305. Длина трубки орошения, см - 305. Воз</w:t>
            </w:r>
            <w:r>
              <w:rPr>
                <w:rFonts w:ascii="Times New Roman" w:hAnsi="Times New Roman"/>
                <w:sz w:val="24"/>
                <w:szCs w:val="24"/>
              </w:rPr>
              <w:t>можность применения при эндоскопических вмешательствах - наличие.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CapSure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5076-52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Эндокардиальный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 со стероидным наполнителем; биполярный; активная фиксация в предсердии; площадь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поверхности вкручивающегося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элемента – не более 4.2 мм2. Площадь поверхности кольца электрода - не более 22 мм2, расстояние от кончика до кольца – не более 10 мм, силиконовая изоляция; диаметр не более 6,1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(2.0мм); длина не более 52 см; коннектор IS-1 B</w:t>
            </w:r>
            <w:r>
              <w:rPr>
                <w:rFonts w:ascii="Times New Roman" w:hAnsi="Times New Roman"/>
                <w:sz w:val="24"/>
                <w:szCs w:val="24"/>
              </w:rPr>
              <w:t>I; Стилеты в комплекте. Стерильная упаковка, количество в упаковке: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CapSure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5076-58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Эндокардиальный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 со стероидным наполнителем; биполярный; активная фиксация в желудочке;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площадь поверхности вкручивающегося элемента – не более 4.2 мм2. Площадь поверхности кольца электрода - не более 22 мм2, расстояние от кончика до кольца – не более 10 мм, силиконовая изоляция; диаметр не более 6,1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(2.0мм); длина не более 58 см; коннект</w:t>
            </w:r>
            <w:r>
              <w:rPr>
                <w:rFonts w:ascii="Times New Roman" w:hAnsi="Times New Roman"/>
                <w:sz w:val="24"/>
                <w:szCs w:val="24"/>
              </w:rPr>
              <w:t>ор IS-1 BI; Стилеты в комплекте. Стерильная упаковка, количество в упаковке: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биполярный левожелудочковый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Локализация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Эпикардиальная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Тип разъема IS-1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изолятора  Комбинация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силикон-полиуретан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Фиксация за счет кривизны тела электрода  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Кардиостимулятор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трехкамерный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ресинхронизирующей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Функциональные (назначение товара)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технические (размерный ряд, материал, </w:t>
            </w:r>
            <w:r>
              <w:rPr>
                <w:rFonts w:ascii="Times New Roman" w:hAnsi="Times New Roman"/>
                <w:sz w:val="24"/>
                <w:szCs w:val="24"/>
              </w:rPr>
              <w:t>состав) характеристики товара, требования к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Кардиостимулятор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ресинхронизирующей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Consulta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CRT-P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Объем, см3 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Масса, г    26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Размер,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ВхШхГ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мм   57 х 59 х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Порт стимуляции/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3 порта IS-1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Внешние покрыти</w:t>
            </w:r>
            <w:r>
              <w:rPr>
                <w:rFonts w:ascii="Times New Roman" w:hAnsi="Times New Roman"/>
                <w:sz w:val="24"/>
                <w:szCs w:val="24"/>
              </w:rPr>
              <w:t>я    Титан, нитрид титана, полиуретан, силикон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   Батарея Гибридная литий - серебро - оксид ванадия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монофторуглеродом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  Расчетный срок службы (100 %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бивентрикулярная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стимуляция в режиме DDD, средняя частота синхронизации –70 мин–1, нижняя частота – 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мин–1, длительность импульса – 0,4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запись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эпизода выключена, ПЖ 2,5 В; ЛЖ 3 В, импеданс – 500 ОМ) 7,7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Режимы стимуляции   DDDR, DDD, DDIR, DDI, AAIR, AAI, VVIR, VVI, DOO, AOO, VOO, ODO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Максимальная частота отслеживания, уд\ми</w:t>
            </w:r>
            <w:r>
              <w:rPr>
                <w:rFonts w:ascii="Times New Roman" w:hAnsi="Times New Roman"/>
                <w:sz w:val="24"/>
                <w:szCs w:val="24"/>
              </w:rPr>
              <w:t>н   210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Максимальная частота с сенсора, , уд\мин    175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Максимальная амплитуда импульса, В 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  ПЖПРП (минимальный) Авто (500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Алгоритм избыточной стимуляции после переключения режима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  Возможность настройки двух независимых з</w:t>
            </w:r>
            <w:r>
              <w:rPr>
                <w:rFonts w:ascii="Times New Roman" w:hAnsi="Times New Roman"/>
                <w:sz w:val="24"/>
                <w:szCs w:val="24"/>
              </w:rPr>
              <w:t>он частотной адаптации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 Автоматическое определение порога стимуляции и автоматическая подстройка амплитуды стимула в левом желудочке с возможностью работы в адаптивном режиме или в режиме мониторинга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 Автоматическое определение порог</w:t>
            </w:r>
            <w:r>
              <w:rPr>
                <w:rFonts w:ascii="Times New Roman" w:hAnsi="Times New Roman"/>
                <w:sz w:val="24"/>
                <w:szCs w:val="24"/>
              </w:rPr>
              <w:t>а стимуляции и автоматическая подстройка амплитуды стимула в правом желудочке с возможностью работы в адаптивном режиме или в режиме мониторинга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  Автоматическое определение порога стимуляции и автоматическая подстройка амплитуды стимула в пра</w:t>
            </w:r>
            <w:r>
              <w:rPr>
                <w:rFonts w:ascii="Times New Roman" w:hAnsi="Times New Roman"/>
                <w:sz w:val="24"/>
                <w:szCs w:val="24"/>
              </w:rPr>
              <w:t>вом предсердии с возможностью работы в адаптивном режиме или в режиме мониторинга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18  Полярность стимуляции левого желудочка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LVtip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RVring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(ЛЖ кончик – ПЖ кольцо);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LVtip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(ЛЖ кончик – корпус);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LVring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RVring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(ЛЖ кольцо – ПЖ кольцо);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LV</w:t>
            </w:r>
            <w:r>
              <w:rPr>
                <w:rFonts w:ascii="Times New Roman" w:hAnsi="Times New Roman"/>
                <w:sz w:val="24"/>
                <w:szCs w:val="24"/>
              </w:rPr>
              <w:t>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(ЛЖ кольцо – корпус);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LVtip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LVring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(ЛЖ кончик –ЛЖ кольцо)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19  Алгоритм поддержки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бивентрикулярной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при ответе на воспринятое желудочковое событие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  Максимальная частота при ответе на воспринятое желудочковое событие,  у</w:t>
            </w:r>
            <w:r>
              <w:rPr>
                <w:rFonts w:ascii="Times New Roman" w:hAnsi="Times New Roman"/>
                <w:sz w:val="24"/>
                <w:szCs w:val="24"/>
              </w:rPr>
              <w:t>д/мин   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  Алгоритм ответа на проведенную фибрилляцию предсердий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  Количество уровней ответа на проведенную фибрилляцию предсердий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  Алгоритм преимущественной стимуляции предсердий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  Алгоритм стабилизации желудочкового ритма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  Алгоритм неконкурентной стимуляции предсердий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  Алгоритм восстановления отслеживания предсердных событий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27  Интервенция при тахикардии, вызванной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  Ответ на желудочковую экстрасистолу Налич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  Алгоритм безопасной стимуляции желудочков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30  Алгоритм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купирования предсердных аритмий с помощью протоколов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31  Программируемая межжелудочковая задержка,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0 - 80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  Возможность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безэлектродной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ЭКГ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33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Дигностические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графики состояния пациента, включая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данные о возможном накоплении жидкости в легочной ткани: за последние 14 месяцев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34  Возможность дополнительной записи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начала тахикардии   Наличи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  Общее число сохраняемых эпизодов ЭГМ   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36  Общая длительность сохраненных эпизодов ЭГМ, минут  24,5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37  Функция автоматической настройки параметров под заданные клинические данные пациента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  Возможность распечатки данных на листе фо</w:t>
            </w:r>
            <w:r>
              <w:rPr>
                <w:rFonts w:ascii="Times New Roman" w:hAnsi="Times New Roman"/>
                <w:sz w:val="24"/>
                <w:szCs w:val="24"/>
              </w:rPr>
              <w:t>рмата А4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39  Возможность подключения к системе удаленного мониторинга, зарегистрированной на территории РФ 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40  Интерфейс и отчеты устройства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транссептальная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BRK-1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транссептальная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коаксиальная, материал - сталь,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калибр внешней иглы - 17G, калибр внутренней иглы 19G, калибр дистальной части внутренней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22G, длина 75см.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соединительный электрического катетера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Соединительный кабель электрического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катетера, многоразового использования. Изолированный электрический провод, используемый для обеспечения электрического соединения между электрическим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катетером (например, электрофизиологическим диагностическим катетером или абляционным катетером) и основн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 устройством с электроприводом (например, генератором, анализатором). Его длина позволяет катетеру оставаться в стерильном поле. Это изделие изготавливается из прочных материалов с металлическим соединительными деталями, например, плакированными золотом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электрическими соединительными штифтами и патронами, что обеспечивают надежность при повторном использовании в течение продолжительного времени. Это изделие многоразового использования. Длина кабеля 274 см - необходимо для подключения к отдаленно стоящему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оборудованию. Разъем: со стороны катетера должно быть 34 контакта - необходимо для подключения к нужному катетеру; со стороны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должно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  34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контакта -  необходимо для подключения к навигационной системе.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навигационный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электрофизиологического исследования сердца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картирования сердца,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одноразового использования. Стерильная управляемая гибкая трубка, содержащая несколько электродов, вводимая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камеры сердца для передачи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электрических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мпульсов с целью проведения электрофизиологических диагностических исследований, например, интракардиального измерения,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эндокардиальной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регистрации, стимуляции, 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оценки аритмий сердца,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электрических аритмий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электрофизиологического картирования сердечных структур. Как правило, изготавливается из пластика с встроенными электродами, часто изготавливаемыми из платины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иридия или композитного материала. Это изделие для одноразового использования. Управле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радиусом кривизны с помощью ручки катетера должно быть в одном направлении - предназначено для позиционирования катетера в нужной анатомической области. Тип кривизны должен быть D - позволяет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спозиционировать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в нужной анатомической области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последующей диагностики. Длина вводимой части катетера 115 см - обеспечивает доступ в нужную камеру сердца. Длина управляемого кончика не более 65 мм - позволяет максимально эффективно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спозиционировать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в нужной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анатомической области для последующей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диагностики. Общее количество электродов не менее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предназначено для диагностики и верификации механизма аритмий. Количество электродов для регистрации внутрисердечных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предназначено для диагностики и верификации механи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зма аритмий. Геометрия наконечника должна быть 5 ветвей предназначено для увеличения площади картирования, обеспечения мягкости рабочей части катетера для лучшего контакта с эндокардом и уменьшения времени диагностики. Диаметр вводимой части катетера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обеспечивает осевую устойчивость катетера при манипуляциях. Электрод должен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  оснащен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датчиком местоположения, встроенным в дистальный отдел катетера - предназначено для работы с магнитной навигационной системой.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Катетер-электрод </w:t>
            </w:r>
            <w:r>
              <w:rPr>
                <w:rFonts w:ascii="Times New Roman" w:hAnsi="Times New Roman"/>
                <w:sz w:val="24"/>
                <w:szCs w:val="24"/>
              </w:rPr>
              <w:t>навигационный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управляемая гибкая трубка, содержащая несколько электродов, вводимая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камеры сердца для передачи электрических импульсов с целью проведения электрофизиологических диагностических исследований, например,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интракардиального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измерения,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эндокардиальной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регистрации, стимуляции, 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оценки аритмий сердца,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электрических аритмий или электрофизиологического картирования сердечных структур. Как правило, изготавливается из пластика с вст</w:t>
            </w:r>
            <w:r>
              <w:rPr>
                <w:rFonts w:ascii="Times New Roman" w:hAnsi="Times New Roman"/>
                <w:sz w:val="24"/>
                <w:szCs w:val="24"/>
              </w:rPr>
              <w:t>роенными электродами, часто изготавливаемыми из платины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иридия или композитного материала. Это изделие для одноразового использования. Управление радиусом кривизны с помощью ручки катетера должно быть в одном направлении - предназначено для позициони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рования катетера в нужной анатомической области. Тип кривизны должен быть D - позволяет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спозиционировать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в нужной анатомической области для последующей диагностики. Длина вводимой части катетера 115 см - обеспечивает доступ в нужную камеру сердца.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Длина управляемого кончика не более 65 мм - позволяет максимально эффективно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спозиционировать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в нужной анатомической области для последующей диагностики. Количество электродов для регистрации внутрисердечных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предназнач</w:t>
            </w:r>
            <w:r>
              <w:rPr>
                <w:rFonts w:ascii="Times New Roman" w:hAnsi="Times New Roman"/>
                <w:sz w:val="24"/>
                <w:szCs w:val="24"/>
              </w:rPr>
              <w:t>ено для диагностики и верификации механизма аритмий. Диаметр вводимой части катетера 7Fr - обеспечивает осевую устойчивость катетера при манипуляциях. Диаметр петли в диапазоне не уже 15 – 20 мм - предназначен для диагностических манипуляций в легочных 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ах. Расстояние между центрами электродов должно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-6-2 мм позволяет получать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необходимой площади эндокарда. Электрод должен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  оснащен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датчиком местоположения, встроенным в дистальный отдел катетера - предназначено для работы с магнитн</w:t>
            </w:r>
            <w:r>
              <w:rPr>
                <w:rFonts w:ascii="Times New Roman" w:hAnsi="Times New Roman"/>
                <w:sz w:val="24"/>
                <w:szCs w:val="24"/>
              </w:rPr>
              <w:t>ой навигационной системой.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20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67D9" w:rsidRDefault="004D6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D67D9" w:rsidRDefault="00420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заявке Заказчика, с момента заключения контракта но не позднее 15.11.2021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г. .</w:t>
            </w:r>
            <w:proofErr w:type="gramEnd"/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D67D9" w:rsidRDefault="00420C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67D9" w:rsidRDefault="004D67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D67D9" w:rsidRDefault="00420C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D67D9" w:rsidRDefault="00420CCF" w:rsidP="00420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25.01.2021 г.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D67D9" w:rsidRDefault="00420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67D9" w:rsidRDefault="004D67D9">
            <w:pPr>
              <w:rPr>
                <w:szCs w:val="16"/>
              </w:rPr>
            </w:pP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D67D9" w:rsidRDefault="00420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D67D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D67D9" w:rsidRDefault="00420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420CC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67D9"/>
    <w:rsid w:val="00420CCF"/>
    <w:rsid w:val="004D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6119E-3937-491D-875A-F14AB7A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3196</Words>
  <Characters>18219</Characters>
  <Application>Microsoft Office Word</Application>
  <DocSecurity>0</DocSecurity>
  <Lines>151</Lines>
  <Paragraphs>42</Paragraphs>
  <ScaleCrop>false</ScaleCrop>
  <Company/>
  <LinksUpToDate>false</LinksUpToDate>
  <CharactersWithSpaces>21373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2021-01-21T09:30:00Z</dcterms:created>
  <dcterms:modified xsi:type="dcterms:W3CDTF">2021-01-21T09:32:00Z</dcterms:modified>
</cp:coreProperties>
</file>