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74"/>
        <w:gridCol w:w="1696"/>
        <w:gridCol w:w="3946"/>
        <w:gridCol w:w="664"/>
        <w:gridCol w:w="710"/>
        <w:gridCol w:w="780"/>
        <w:gridCol w:w="1478"/>
        <w:gridCol w:w="1241"/>
      </w:tblGrid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 w:rsidRPr="00AF7D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Pr="00AF7D1D" w:rsidRDefault="00AF7D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7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7D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7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7D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7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7D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Pr="00AF7D1D" w:rsidRDefault="00E40A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Pr="00AF7D1D" w:rsidRDefault="00E40A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Pr="00AF7D1D" w:rsidRDefault="00E40A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Pr="00AF7D1D" w:rsidRDefault="00E40A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Pr="00AF7D1D" w:rsidRDefault="00E40A61">
            <w:pPr>
              <w:rPr>
                <w:szCs w:val="16"/>
                <w:lang w:val="en-US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 w:rsidP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>
              <w:rPr>
                <w:rFonts w:ascii="Times New Roman" w:hAnsi="Times New Roman"/>
                <w:sz w:val="24"/>
                <w:szCs w:val="24"/>
              </w:rPr>
              <w:t>021 г. №.706-2021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A61" w:rsidRDefault="00AF7D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A61" w:rsidRDefault="00AF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A61" w:rsidRDefault="00AF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A61" w:rsidRDefault="00AF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A61" w:rsidRDefault="00AF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A61" w:rsidRDefault="00AF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A61" w:rsidRDefault="00AF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A61" w:rsidRDefault="00AF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0A61" w:rsidRDefault="00AF7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солей для приготовления кислой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бикарбонатного диализного концентрата с содержанием кальция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контейнера - полиэтилен низкой плотности (LDPE);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разведения концентрата обратноосмотической водой 1:200;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~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Производство до 200 л диализирующей жидкости </w:t>
            </w:r>
            <w:r>
              <w:rPr>
                <w:rFonts w:ascii="Times New Roman" w:hAnsi="Times New Roman"/>
                <w:sz w:val="24"/>
                <w:szCs w:val="24"/>
              </w:rPr>
              <w:t>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контейнера при скорости диализирующего потока 500 мл/мин (QD= 500 мл/мин): не менее 6 ч 40 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Коннектор для герметичного и безопасного подключения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аппарату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сертификаты кач</w:t>
            </w:r>
            <w:r>
              <w:rPr>
                <w:rFonts w:ascii="Times New Roman" w:hAnsi="Times New Roman"/>
                <w:sz w:val="24"/>
                <w:szCs w:val="24"/>
              </w:rPr>
              <w:t>ества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диализного/замещающего раствора после указанного разведения вместе с бикарбонатом из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хлоридом натрия из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SelectCart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Калий 3,0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Кальций 1,50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Магний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Ацетат 3,0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Глюкоза - 5,55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Хлорид - 110,0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Натрий - 140,0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Бикарбонат - 34,0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Диализатор, площадь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площадь поверхности мембраны, (м2) - 1,8.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 стерилизации - паровая. Материал мембраны - синтетическая. Коэффициент ультрафильтрации (мл/мм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./час), 45. Клиренсы: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=300 мл/мин,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=500 мл/мин,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=0 мл/мин. Мочевина - 276.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- 250. Фосфаты - 239. Витамин B12 - 175. Объём заполнения (</w:t>
            </w:r>
            <w:r>
              <w:rPr>
                <w:rFonts w:ascii="Times New Roman" w:hAnsi="Times New Roman"/>
                <w:sz w:val="24"/>
                <w:szCs w:val="24"/>
              </w:rPr>
              <w:t>мл),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2,1 - 2,3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капиллярный с площадью поверхности мембраны 2,3 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Мембрана синтетическая.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Диализатор сухой (без заполнения какими либо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жидкостями)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Сухая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стерилизация гамма-излучением.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Клиренсовые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в мл/мин (при скорости кровотока 300 мл/мин, потоке диализата 500 мл/мин, ультрафильтрации 0 мл/мин) не менее: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мочевины –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фосфата – 243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витамина В12 – 143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КУФ не более 2</w:t>
            </w:r>
            <w:r>
              <w:rPr>
                <w:rFonts w:ascii="Times New Roman" w:hAnsi="Times New Roman"/>
                <w:sz w:val="24"/>
                <w:szCs w:val="24"/>
              </w:rPr>
              <w:t>0 мл/час/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 площадь 1,7 - 1,8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мембраны – синтетический (POLYAMIX: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полиамидная смесь);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12,5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Клиренс в мл/мин (при потоке диализирующего раствора 500 мл/мин., потоке крови 300 мл/мин, УФ =0, гемодиализ,  </w:t>
            </w:r>
            <w:r>
              <w:rPr>
                <w:rFonts w:ascii="Times New Roman" w:hAnsi="Times New Roman"/>
                <w:sz w:val="24"/>
                <w:szCs w:val="24"/>
              </w:rPr>
              <w:t>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В12 - 114;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1,7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заполнения – 104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красная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артериальная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Ультратонкая стенка, специальная трехгранная заточка иглы, с острым срезом для уменьшения болевых ощущений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пункции фистулы, дополнительное боковое отверстие для исключения эффекта присасывания, метка положения среза иглы, гибкие вращающиеся крылышки, прозрачная, устойчивая к перегибам трубочка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300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эл</w:t>
            </w:r>
            <w:r>
              <w:rPr>
                <w:rFonts w:ascii="Times New Roman" w:hAnsi="Times New Roman"/>
                <w:sz w:val="24"/>
                <w:szCs w:val="24"/>
              </w:rPr>
              <w:t>астичным цветным (красным) зажимом. Цветовая кодировка крыльев иглы в зависимости от размера иглы. Размер 16G (1,6 мм). Длина иглы 25мм. Одноразовая, стерильная, метод стерилизации пар или гамма излучение.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венозная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Ультратонкая стенка, специальная трехгранная заточка иглы, с острым срезом для уменьшения болевых ощущений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пункции фистулы, метка положения среза иглы, гибкие вращающиеся крылышки, прозрачная, устойчивая к перегибам трубочка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</w:t>
            </w:r>
            <w:r>
              <w:rPr>
                <w:rFonts w:ascii="Times New Roman" w:hAnsi="Times New Roman"/>
                <w:sz w:val="24"/>
                <w:szCs w:val="24"/>
              </w:rPr>
              <w:t>ой  300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эластичным цветным (синим) зажимом. Цветовая кодировка крыльев иглы в зависимости от размера иглы. Размер 16G (1,6 мм).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мм. Одноразовая, стерильная, метод стерилизации пар или гамма излучение.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безводного порошка карбоната натрия, г -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11;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Регистрационное удостоверение, сертификат качества - на</w:t>
            </w:r>
            <w:r>
              <w:rPr>
                <w:rFonts w:ascii="Times New Roman" w:hAnsi="Times New Roman"/>
                <w:sz w:val="24"/>
                <w:szCs w:val="24"/>
              </w:rPr>
              <w:t>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в программе химической горячей дезинфекции для промывки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- 32;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модификация 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безводного порошка лимонной кислоты, г -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32;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приготовленного раствора ~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в программе химической горячей дезинфекции,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позволяет провести одновременно дезинфекцию,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декальцификацию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промывку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- 50;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бикарбонатный 760 г, для аппарата Диалог плюс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Картридж, содержащий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сухой бикарбонат натрия, соответствующий фармацевтическому стандарту, массой 760 гр., совместимый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аппаратами «искусственная почка»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(Диалог+) с функцией ГДФ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приготовления в диализной машине жидкого бикарбонатного компо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нента диализирующего раствора. Емкость картриджа соответствует 7,6л жидкого 8,4% концентрата бикарбоната натрия. Материал картриджа – полипропилен. Картридж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два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фильтра тонкой очистки концентрата: один на входном порте и один на выходном порте. Соде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ржимое картриджа не слеживается при хранении, при разведении порошок картриджа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растворяется  полностью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осадка. При скорости потока диализата 500мл/мин бикарбонатный патрон обеспечивает 7 часов работы аппарата. Нет наличия несъемных герметизирующих конс</w:t>
            </w:r>
            <w:r>
              <w:rPr>
                <w:rFonts w:ascii="Times New Roman" w:hAnsi="Times New Roman"/>
                <w:sz w:val="24"/>
                <w:szCs w:val="24"/>
              </w:rPr>
              <w:t>трукций в емкости-картридже, требующих разрушения до установления или при установлении в аппарат «искусственная почка».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щающиеся крылья для фиксации катетера. Скорость кровотока 300-400 мл/мин при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см. Конфигурация: изогнутый. Стерил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</w:t>
            </w:r>
            <w:r>
              <w:rPr>
                <w:rFonts w:ascii="Times New Roman" w:hAnsi="Times New Roman"/>
                <w:sz w:val="24"/>
                <w:szCs w:val="24"/>
              </w:rPr>
              <w:t>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долговременный, туннелируемый,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серебра, прямой,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Серебряное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кончика катетера (360˚) для прохода крови. Манжета для врастания тканей. Крылья для фиксации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и потери крови. Конфигурация: прямой. Диаметр 14,5Fr, длина 23см. Состав набора: 1. Катетер - 14,5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 шт., Пункц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ионная игла –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герметичным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туннельного прохода – 10-12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 шт., Фиксирующая наклейка –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долговременный, туннелируемый,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серебра, изогнутый, диаметр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полиуретана. Серебряное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Манжета для врастания тканей. Крылья для фиксации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и потери крови. Конфигурация: изогнутый. Диаметр 14,5Fr, длина 31 см. Состав набора: 1. Катетер - 14,5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Пункционная игла –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 шт., Проводни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герметичным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туннельного прохода – 10-12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Фиксирующая наклейка – 2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 Срок годности: не 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долговременный, туннелируемый,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серебра, прямой, диаметр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Серебряное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врастания тканей. Крылья для фиксации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и потери крови. Конфигурация: прямой. Диаметр 14,5Fr, длина 42 см. Состав набора: 1. Катетер - 14,5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Пункционная игла –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герметичным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туннельного прохода – 10-12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Фиксирующая наклейка – 2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 Срок годности: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долговременный, туннелируемый, покрытый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серебра, прямой, диаметр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Серебряное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сульфадиазиновое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для врастания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тканей. Крылья для фиксации катетера.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от эмболии и потери крови. Конфигурация: прямой. Диаметр 14,5Fr, длина 42 см. Состав набора: 1. Катетер - 14,5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Пункционная игла –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герметичным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Расширитель туннельного прохода – 10-12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Фиксирующая наклейка – 2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 Ср</w:t>
            </w:r>
            <w:r>
              <w:rPr>
                <w:rFonts w:ascii="Times New Roman" w:hAnsi="Times New Roman"/>
                <w:sz w:val="24"/>
                <w:szCs w:val="24"/>
              </w:rPr>
              <w:t>ок годности: не 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4Fr, длина не менее 80см. Изготовлен из ПВХ, имеет равномерно раздуваемый латексный баллон на конце,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обеспечивающий плотное прилегание к стенкам 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углублении, что обеспечивает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плавное введение катетера. Информация об объеме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6Fr, длина не менее 80см. Изготовлен из ПВХ,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равномерно раздуваемый латексный баллон на конце, обеспечивающий плотное прилегание к стенкам сосудов,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</w:t>
            </w:r>
            <w:r>
              <w:rPr>
                <w:rFonts w:ascii="Times New Roman" w:hAnsi="Times New Roman"/>
                <w:sz w:val="24"/>
                <w:szCs w:val="24"/>
              </w:rPr>
              <w:t>агается в специальном углублении, что обеспечивает плавное введение катетера. Информация об объеме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картриджей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Материал  корпуса бикарбонатного  картриджа – </w:t>
            </w:r>
            <w:r>
              <w:rPr>
                <w:rFonts w:ascii="Times New Roman" w:hAnsi="Times New Roman"/>
                <w:sz w:val="24"/>
                <w:szCs w:val="24"/>
              </w:rPr>
              <w:t>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сертификат качества;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Применение данного картриджа должно быть разрешено производителем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(если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аппараты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Использование для герметизации карт</w:t>
            </w:r>
            <w:r>
              <w:rPr>
                <w:rFonts w:ascii="Times New Roman" w:hAnsi="Times New Roman"/>
                <w:sz w:val="24"/>
                <w:szCs w:val="24"/>
              </w:rPr>
              <w:t>риджей изолирующих колпачков на концах картриджа;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слотов на корпусе картриджа для фиксации снятых колпачков во время его использования;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 сухого бикарбоната натрия в  картридже 720 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Материал корпуса картриджа с хлоридом натрия – п</w:t>
            </w:r>
            <w:r>
              <w:rPr>
                <w:rFonts w:ascii="Times New Roman" w:hAnsi="Times New Roman"/>
                <w:sz w:val="24"/>
                <w:szCs w:val="24"/>
              </w:rPr>
              <w:t>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сертификат качества;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Применение данного картриджа должно быть разрешено производителем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(если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аппараты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Использование для герметизации картр</w:t>
            </w:r>
            <w:r>
              <w:rPr>
                <w:rFonts w:ascii="Times New Roman" w:hAnsi="Times New Roman"/>
                <w:sz w:val="24"/>
                <w:szCs w:val="24"/>
              </w:rPr>
              <w:t>иджей изолирующих колпачков на концах картриджа;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слотов на корпусе картриджа для фиксации снятых колпачков во время его использования;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 сухого хлорида натрия в  картридже 1200 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универсальных магистралей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гемодиализа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(артерия-вена)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Магистрали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(гемо)совместимых медицинских материалов. Материал магистрали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прозрачным и обеспечивать нормальную работу светового и ультразвукового датчиков аппарата «искусственная почка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определяющих наличие крови и воздуха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артерио-венозной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магистрали. Объем заполнения не менее 140 и не более 160 мл. Артериальная линия — длина насосного сегмента не менее 33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38 см, наличие воздушной ловушки, наличие гидрофобного фильтра </w:t>
            </w:r>
            <w:r>
              <w:rPr>
                <w:rFonts w:ascii="Times New Roman" w:hAnsi="Times New Roman"/>
                <w:sz w:val="24"/>
                <w:szCs w:val="24"/>
              </w:rPr>
              <w:t>на отводе к датчику давления, наличие отвода для введения гепарина. Зажимы — красного цвета, эластичные, удобные в работе, надежно перекрывающие линии. Наличие отвода для датчика PBE на артериальной части магистрали. Венозная линия -  наличие воздушной лов</w:t>
            </w:r>
            <w:r>
              <w:rPr>
                <w:rFonts w:ascii="Times New Roman" w:hAnsi="Times New Roman"/>
                <w:sz w:val="24"/>
                <w:szCs w:val="24"/>
              </w:rPr>
              <w:t>ушки с наружным диаметром не менее 20мм и не более 22мм, наличие отвода к датчику давления на венозной магистрали длиной не менее 300 мм с гидрофобным фильтром и наружной резьбой. Зажимы — синего цвета, эластичные, удобные в работе, надежно перекрывающие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инии, на артериальной и венозной магистралях порты с резиновыми пробками для производства инъекций;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комплекте мешок для слива использованного раствора объемом не менее 2 л, игла для растворов.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инжекторные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входы не должны содержать латекса. Стерилизац</w:t>
            </w:r>
            <w:r>
              <w:rPr>
                <w:rFonts w:ascii="Times New Roman" w:hAnsi="Times New Roman"/>
                <w:sz w:val="24"/>
                <w:szCs w:val="24"/>
              </w:rPr>
              <w:t>ия — гамма излучение или водяной пар.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магистралей, включающий артериальную и венозную компоненты, линию для замещающего раствора, линию для гепарина, с отводами для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 к датчикам давления, с двумя гидрофобными портами. Объем заполнения 132 мл. (для аппарата мод. 5008«Фрезениус»). Минимальный остаточный срок годности после поставки товара 70% срока стерильности. Документы, подтверждающие соответствие товара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ебованиям, установленным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законодательством РФ (если требования установлены законодательством): Сертификат соответствия ГОСТ РФ.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(Минздрава России). Документация на русском языке.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корпуса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– полипропилен; Содержание сухого бикарбоната натрия в  картридже,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720. Наличие защитных колпачков на коннекторах картриджа,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2. 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чие парковочных слотов на картридже для фиксации снятых колпачков во время его использования,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диализный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основной бикарбонатный 650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сухой гранулированный основной бикарбонатный. Технические характеристики: Концентрат сухой гранулированный основной бикарбонатный 8,4%. Для приготовления готового раствора - 7,74 литра. Расфасовка 650 грамм. Адапти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 и совместим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аппаратом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модель 5008, имеющегося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солей для приготовления кислой части бикарбонатного диализного концентрата с содержанием кальция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для аппаратов "искусственная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".Набор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сухих солей. Кислотный компонент. Упаковка для приготовления концентрата 100 л. Разведение 1/34. Показатели после смешивания с бикарбонатным концентратом 8,4%. Содержание в готовом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/>
                <w:sz w:val="24"/>
                <w:szCs w:val="24"/>
              </w:rPr>
              <w:t>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Натрий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+) 138,00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Калий (K+)  3,00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++) 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Кальций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++) 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Хлор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-)  107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CH3COO  6,00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HCO3 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Глюкоза  1 г/л.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солей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Сухой концентрат (в мелко-гранулированной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форме)  бикарбонатного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(основного) компонента для бикарбонатного гемодиализа для разведения на 50 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готового раствора. (50 л жидкого концентрата с 8.4 % растворо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бикарбоната натрия). Содержание бикарбонат-иона в диализате –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/л. Упаковка должна быть герметичная, непрозрачная. Набор состоит из реагентов для получения 50 литров основной части диализного концентрата.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для </w:t>
            </w:r>
            <w:r>
              <w:rPr>
                <w:rFonts w:ascii="Times New Roman" w:hAnsi="Times New Roman"/>
                <w:sz w:val="24"/>
                <w:szCs w:val="24"/>
              </w:rPr>
              <w:t>замещающей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раствора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аппарате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4008S. Используется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ONLINE, как 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замещения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предилюционной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постдилюционной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ГДФ. Диамет</w:t>
            </w:r>
            <w:r>
              <w:rPr>
                <w:rFonts w:ascii="Times New Roman" w:hAnsi="Times New Roman"/>
                <w:sz w:val="24"/>
                <w:szCs w:val="24"/>
              </w:rPr>
              <w:t>р насосного сегмента 6,4 мм. Индивидуальная упаковка. Стерилизация паром.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и венозная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 174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Артериальная линия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Пластиковая игла для растворов.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Участок для инъекций.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Отвод на артериальный датчик длиной 50 см, наличие гидрофобного фильтра и пластикового зажима на отводе.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Насосный сегмент диаметром 8 мм и длиной 40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Линия для введения гепарина длиной  75 см, с пластиковым зажимом.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льная ловушка с отводом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конусообразной формы, у нижнего основания диаметр 20 мм, у верхнего основания диаметр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Венозная часть включает: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Участок для инъекций.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Венозная ловушка с отводом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конусообразной формы, у нижнего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диаметр 20 мм, у верхнего основания диаметр 22 мм. Наличие на венозной ловушке дополнительного отвода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гидрофобным фильтром и пластиковым зажимом.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пластиковых зажимов на магистралях и отводах.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Дрена</w:t>
            </w:r>
            <w:r>
              <w:rPr>
                <w:rFonts w:ascii="Times New Roman" w:hAnsi="Times New Roman"/>
                <w:sz w:val="24"/>
                <w:szCs w:val="24"/>
              </w:rPr>
              <w:t>жный мешок объемом  2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Одноразовая, стерильная, метод стерилизации пар или гамма излучение.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для проведения процедуры гемодиализа. Для снижения риска </w:t>
            </w:r>
            <w:r>
              <w:rPr>
                <w:rFonts w:ascii="Times New Roman" w:hAnsi="Times New Roman"/>
                <w:sz w:val="24"/>
                <w:szCs w:val="24"/>
              </w:rPr>
              <w:t>осложнений и улучшения качества услуги, продукция в блистере уложена последовательно, в соответствии с этапами проведения процедуры установка и удаление катетера при проведении гемодиализа. Состав набор №1: для начала процедуры круглые тампоны (№3-размер с</w:t>
            </w:r>
            <w:r>
              <w:rPr>
                <w:rFonts w:ascii="Times New Roman" w:hAnsi="Times New Roman"/>
                <w:sz w:val="24"/>
                <w:szCs w:val="24"/>
              </w:rPr>
              <w:t>о сливу) - 5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(60 х 60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шт.; салфетки из марли (7,5 х 7,5 см)-5шт.; пластырные полоски из нетканого материала (150 х 25 мм) - 6 шт. Состав набора №2: для завершения процедуры. Круглые тампоны (№3-размер со сливу) - 4 шт. салфе</w:t>
            </w:r>
            <w:r>
              <w:rPr>
                <w:rFonts w:ascii="Times New Roman" w:hAnsi="Times New Roman"/>
                <w:sz w:val="24"/>
                <w:szCs w:val="24"/>
              </w:rPr>
              <w:t>тки из марли (7,5 х 7,5 см) - 5 шт. бинт эластичный фиксирующий (10 см х 4 м) - 1 шт. Описание: Покрытие: нетканый двухсторонний материал (вискоза и полиэтилен) плотность 53 г/см2, размер 60 х 60 см. Тампоны: марля из 100% абсорбирующего хлопка –20 нитей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размером со сливу (диаметр 32 мм). Салфетка: марля из 100% абсорбирующего хлопка 17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нитей,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слоёв, размер 7,5 х 7,5 см.  Пластырные полоски: нетканый пористый материал – клейкая масса из акрилата размер 150 х 25мм. Фиксирующий бинт: вискоза 63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полиам</w:t>
            </w:r>
            <w:r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37%, размер 10 см х 4 м. Упаковка: Жёсткая блистерная упаковка: - плёнка ПЭТ/ПЭ толщиной 350 мкм, бумага плотностью 58г/м2. На упаковке указан: состава набора, номера партии, срока годности, условий хранения и места открытия упаковки. Набор снабжён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</w:t>
            </w:r>
            <w:r>
              <w:rPr>
                <w:rFonts w:ascii="Times New Roman" w:hAnsi="Times New Roman"/>
                <w:sz w:val="24"/>
                <w:szCs w:val="24"/>
              </w:rPr>
              <w:t>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LOT (номер партии), срока годности, артикула, наименования медицинского изделия, производителя и штрих-кодом для обеспечения контроля за качеством проведенных процедур,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использовать повторно.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наклеивается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историю 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зни пациента для обеспечения контроля за качества услуг. Обоснование характеристик: состав набора обусловлен видом процедуры, для которой он предназначен. Характеристики материала изготовления, плотности, размеров составляющих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  обеспечивают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функцион</w:t>
            </w:r>
            <w:r>
              <w:rPr>
                <w:rFonts w:ascii="Times New Roman" w:hAnsi="Times New Roman"/>
                <w:sz w:val="24"/>
                <w:szCs w:val="24"/>
              </w:rPr>
              <w:t>альность при проведении процедуры. Параметры упаковки комплекта создают условия для сохранения стерильности его составляющих. (САНПИН 2.1.3.2630-10). Все указанные цвета являются предпочтительными, имеется возможность предоставления иной цветовой гаммы.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снятия швов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для снятия швов. Состав набора: салфетки из нетканого материала нетканый материал, содержащий 70% вискозного волокна и 30% полиэфира. размер не менее 5 x 5см.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шт.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Нож для </w:t>
            </w:r>
            <w:r>
              <w:rPr>
                <w:rFonts w:ascii="Times New Roman" w:hAnsi="Times New Roman"/>
                <w:sz w:val="24"/>
                <w:szCs w:val="24"/>
              </w:rPr>
              <w:t>снятия швов - 1 шт. Пинцет пластмассовый - 1 шт. Набор упакован в прозрачный пластиковый лоток с легко вскрывающейся верхней поверхностью из плотной бумаги.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10 см с ионами серебра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Стерильная, сетчатая повязка, содержащая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ионы серебра с антибактериальными свойствами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обработанная серебром сетка; Пропитка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мазь. Размер 10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со спиралью для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венозного анастомоза, диаметр 6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для формирования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артерио-венозного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шунта в гемодиализе из вытянутого ПТФЭ с воронкообразной манжетой для формирования венозного анастомоза, линейный, стандартный с углеродным по</w:t>
            </w:r>
            <w:r>
              <w:rPr>
                <w:rFonts w:ascii="Times New Roman" w:hAnsi="Times New Roman"/>
                <w:sz w:val="24"/>
                <w:szCs w:val="24"/>
              </w:rPr>
              <w:t>крытием внутренней стенки, с двумя голубыми ориентационными линиями, толщиной стенки 0,6 мм, длина 40 см, диаметр 6мм.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асептический раствор. Активными ингредиентами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™- U25000 являются </w:t>
            </w:r>
            <w:r>
              <w:rPr>
                <w:rFonts w:ascii="Times New Roman" w:hAnsi="Times New Roman"/>
                <w:sz w:val="24"/>
                <w:szCs w:val="24"/>
              </w:rPr>
              <w:t>цикло-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тауролидин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цитрат (4%)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урокиназа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(25000 ЕД). Показания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применению:TauroLock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™-U25000  показан к 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™-U25000 является раствором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закрытия»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 в перерывах между циклами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он вводится в катетер после окончания терапии и извлекается из него перед очередным использованием. Применяется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онкологии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педиатрии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 парентеральном питании, кардиологии, при высоком риске тромбозов. Форма выпуска: раствор в флаконы объемом 5 мл №5в картонной упаковке. Условия хранение и поставки: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™-U25000 должен храниться при температуре от 15 до 30°C и не может транспорт</w:t>
            </w:r>
            <w:r>
              <w:rPr>
                <w:rFonts w:ascii="Times New Roman" w:hAnsi="Times New Roman"/>
                <w:sz w:val="24"/>
                <w:szCs w:val="24"/>
              </w:rPr>
              <w:t>ироваться при низких температурах. Не замораживать. Общий срок годности: не менее 1 года.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асептический раствор. Активными ингредиентами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™-HEP500 являются цикло-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тауролидин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цитрат (4%) и гепарин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(500 МЕ/мл). Показания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применению:TauroLock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™-HEP500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показан к 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™-HEP500 является раствором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закрытия»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 в перерывах между циклами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он вводится в катетер после окончания терапии и извлекается из него перед очередным использованием. Применяется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пациентов находящихся на диализе. Форма выпуска: раствор в 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пулах объемом 5 мл №10 в картонной упаковке. Условия хранение и поставки: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™-HEP500 должен храниться при температуре от 15 до 30°C и не может транспортироваться при низких температурах. Не замораживать. Общий срок годности: не менее 1 года.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диализными аппаратами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AK 98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мембраны: PAES/PVP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полиарилэфирсульфон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</w:t>
            </w:r>
            <w:r>
              <w:rPr>
                <w:rFonts w:ascii="Times New Roman" w:hAnsi="Times New Roman"/>
                <w:sz w:val="24"/>
                <w:szCs w:val="24"/>
              </w:rPr>
              <w:t>л корпуса и колпачков: поликарбонат;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Герметизирующий материал: полиуретан;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Прокладка: силиконовый каучук;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колпачки: полипропилен, полиэтилен;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капилляра, мкм - 190;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мембраны, мкм - 45;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просвета капилляров</w:t>
            </w:r>
            <w:r>
              <w:rPr>
                <w:rFonts w:ascii="Times New Roman" w:hAnsi="Times New Roman"/>
                <w:sz w:val="24"/>
                <w:szCs w:val="24"/>
              </w:rPr>
              <w:t>, мл - 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фильтрата, мл - 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мембраны, м2 -  2,4;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заполнения, мл: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Просвет –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Фильтрующая поверхность –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QUF, л/мин - 1,2.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 PHYSIOSET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типоразмер PHYSIOSET HD DNL HC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 потенциального риска - 2б;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– радиационная;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насосного сегмента картриджа, мм: 271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насосного сегмента, мм:  6,35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насосного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сегмента, мм: 1,59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длина, см: 700;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Общий объем заполнения, мл: не более 132;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пациента, мм: 4,17 х 6,50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диализатора, мм: 4,17 х 6,80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магистрали на картридже, мм: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3,17 х 4,75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венозной магистрали диализатора, мм: 3,5 х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магистрали, мм: 0,8 х 3,18; длина - 279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картриджа: полиэтилен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гликоль;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магистралей: поливинилхлорид, не содержащий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териал инъекционных портов: каучук, не содержащий латекса;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в виде моноблока, состоящего из насосного сегмента, артериальной и венозной магистралей крови с пластиковыми зажимами, включающее: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- 2 порта для датчиков измерения давления крови в артер</w:t>
            </w:r>
            <w:r>
              <w:rPr>
                <w:rFonts w:ascii="Times New Roman" w:hAnsi="Times New Roman"/>
                <w:sz w:val="24"/>
                <w:szCs w:val="24"/>
              </w:rPr>
              <w:t>иальной и венозной магистралях с эластичными непроницаемыми мембранами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Магистрали для автоматического заполнения и промывки экстракорпорального контура, обеспечивающие герметичное соединение с устройством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EvaClean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аппаратного удаления пром</w:t>
            </w:r>
            <w:r>
              <w:rPr>
                <w:rFonts w:ascii="Times New Roman" w:hAnsi="Times New Roman"/>
                <w:sz w:val="24"/>
                <w:szCs w:val="24"/>
              </w:rPr>
              <w:t>ывочного раствора при реверсивной работе насоса крови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Воздушные ловушки на артериальной и венозной частях моноблока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тромбообразованием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донным венозным фильтром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Магистраль для введения антикоагулянта, оснащенная обра</w:t>
            </w:r>
            <w:r>
              <w:rPr>
                <w:rFonts w:ascii="Times New Roman" w:hAnsi="Times New Roman"/>
                <w:sz w:val="24"/>
                <w:szCs w:val="24"/>
              </w:rPr>
              <w:t>тным клапаном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Кювета для датчика динамического определения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гемоглобина (относительного объёма  крови)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Hemoscan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Заполняющая магистраль с пластиковой иглой и зажимом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на камерах деаэрации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 и </w:t>
            </w:r>
            <w:r>
              <w:rPr>
                <w:rFonts w:ascii="Times New Roman" w:hAnsi="Times New Roman"/>
                <w:sz w:val="24"/>
                <w:szCs w:val="24"/>
              </w:rPr>
              <w:t>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Возможность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совместном использовании с аксессуаром PHYSIOSET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Пределы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Артериальное: - 400 мм рт. ст. до + 150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Венозное: - 100 мм рт. ст. до + 450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Диапазон скорости потока крови, мл/мин: 10 – 500;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приготовления сверхчистой диализной и замещающей жидкости для проведения гемодиализа (в том числе в режиме ONLINE). Материал корпуса полипропилен. Материал мембраны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Эффективная поверхность - 2,2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Наличие силиконовых уплотнителей. Скорос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фильтрации не менее 5 мл/мин.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(3,7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AF7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0A61" w:rsidRDefault="00E40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A61" w:rsidRDefault="00AF7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A61" w:rsidRDefault="00AF7D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A61" w:rsidRDefault="00AF7D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A61" w:rsidRDefault="00AF7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A61" w:rsidRDefault="00AF7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0A61" w:rsidRDefault="00E40A61">
            <w:pPr>
              <w:rPr>
                <w:szCs w:val="16"/>
              </w:rPr>
            </w:pP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A61" w:rsidRDefault="00AF7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0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0A61" w:rsidRDefault="00AF7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000000" w:rsidRDefault="00AF7D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A61"/>
    <w:rsid w:val="00AF7D1D"/>
    <w:rsid w:val="00E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7EEB2-A2E8-4600-95E5-395754C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71EA-EC04-41BE-AFB0-42D2B8D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4410</Words>
  <Characters>25139</Characters>
  <Application>Microsoft Office Word</Application>
  <DocSecurity>0</DocSecurity>
  <Lines>209</Lines>
  <Paragraphs>58</Paragraphs>
  <ScaleCrop>false</ScaleCrop>
  <Company/>
  <LinksUpToDate>false</LinksUpToDate>
  <CharactersWithSpaces>29491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2021-06-03T09:02:00Z</dcterms:created>
  <dcterms:modified xsi:type="dcterms:W3CDTF">2021-06-03T09:03:00Z</dcterms:modified>
</cp:coreProperties>
</file>