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8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6"/>
        <w:gridCol w:w="2220"/>
        <w:gridCol w:w="2988"/>
        <w:gridCol w:w="675"/>
        <w:gridCol w:w="725"/>
        <w:gridCol w:w="976"/>
        <w:gridCol w:w="1901"/>
        <w:gridCol w:w="1585"/>
      </w:tblGrid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RPr="00670ECD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Pr="00670ECD" w:rsidRDefault="00670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EC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Pr="00670ECD" w:rsidRDefault="00081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Pr="00670ECD" w:rsidRDefault="00081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Pr="00670ECD" w:rsidRDefault="00081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Pr="00670ECD" w:rsidRDefault="00081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Pr="00670ECD" w:rsidRDefault="00081E03">
            <w:pPr>
              <w:rPr>
                <w:szCs w:val="16"/>
                <w:lang w:val="en-US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 w:rsidP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№.676-2022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444" w:type="dxa"/>
            <w:gridSpan w:val="3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694" w:type="dxa"/>
            <w:gridSpan w:val="7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1E03" w:rsidRDefault="00670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видуарного верхнего бачка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</w:t>
            </w:r>
            <w:r>
              <w:rPr>
                <w:rFonts w:ascii="Times New Roman" w:hAnsi="Times New Roman"/>
                <w:sz w:val="24"/>
                <w:szCs w:val="24"/>
              </w:rPr>
              <w:t>верхнего керамического бачка с водой, для видуара. Комплектация: гофросифон, клапан с поплавком, смывная ручка с веревкой не менее 1,0м.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(наруж. резьба)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(наружная резьба)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Воздушный </w:t>
            </w:r>
            <w:r>
              <w:rPr>
                <w:rFonts w:ascii="Times New Roman" w:hAnsi="Times New Roman"/>
                <w:sz w:val="24"/>
                <w:szCs w:val="24"/>
              </w:rPr>
              <w:t>клапан (аэратор) РР Ду-50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клапан (аэратор), материал полипропилен, диаметр 50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РР Ду-110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Диаметр: 110 мм, материал: полипропилен, внутренняя канализация.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РР Ду-50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Диаметр: 50 мм, материал: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полипропилен, внутренняя канализация.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керамический для одноручкового смесителя Ду-35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латунный шток, клик система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керамический для одноручкового смесителя Ду-40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однорычажного </w:t>
            </w:r>
            <w:r>
              <w:rPr>
                <w:rFonts w:ascii="Times New Roman" w:hAnsi="Times New Roman"/>
                <w:sz w:val="24"/>
                <w:szCs w:val="24"/>
              </w:rPr>
              <w:t>смесителя. Диаметр 40мм. Шток латунный. Клик-система.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для арматуры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впуска для смывного бачка предназначен для наполнения смывного бачка водой. Материал пластик.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обратный пружинный Ду-40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присоединения внутренняя резьба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клапана обратный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Ду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 Ру10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обратный пружинный латунный муфтовый NY Ду50 (2")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обратного клапана NY Ду50: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давление : 16 атм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Минимальное открывающее давление : 25 см. водяного столба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запирающее давление : 50 см водяного столба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температура: 0..+95 град С (кратковременно до +110 град 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среда : холодная и горячая вода , вода, сжатый воздух, масло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</w:t>
            </w:r>
            <w:r>
              <w:rPr>
                <w:rFonts w:ascii="Times New Roman" w:hAnsi="Times New Roman"/>
                <w:sz w:val="24"/>
                <w:szCs w:val="24"/>
              </w:rPr>
              <w:t>динение : муфтовое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: 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Уплотнение : резина NBR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: нержавеющая сталь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Кнопка смыва GEBERIT 115.125.46.1 Delta 21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кнопка смыва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унитаза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кнопки (полный слив/эконом)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сливом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универсальный силиконовый для поключения алюминиевых радиаторов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универсальный d-42 Ду-20 для алюминиевого радиатора, в комплекте 3 кронштейна.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стальной шаровый под приварку Ду 25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диаметр не менее 25 мм; давление не более 4 Мпа; материал - сталь; рабочая температура не более 200 град. С; вес не более 1,1 кг; строительная длина не более 230 мм; рабочая среда крана - вода, пар, нефтепродукты.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муфтовый полнопроходной с накидной гайкой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муфтовый полнопроходной сальниковый с накидной гайкой Ду15. Максимальное рабочее давление более 4,0 MPa.  Максимальная рабочая температура не менее 185°С при 1,05 МРа. Материал корпу</w:t>
            </w:r>
            <w:r>
              <w:rPr>
                <w:rFonts w:ascii="Times New Roman" w:hAnsi="Times New Roman"/>
                <w:sz w:val="24"/>
                <w:szCs w:val="24"/>
              </w:rPr>
              <w:t>са латунь покрытая никелем или хромированная латунь.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под приварку Ду-100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стальной шаровый по приварку Ду-100. Материал корпуса сталь не менее 20. Диапазон температур не менее чем от -30 до +200 °С. Материал уплотнения шара </w:t>
            </w:r>
            <w:r>
              <w:rPr>
                <w:rFonts w:ascii="Times New Roman" w:hAnsi="Times New Roman"/>
                <w:sz w:val="24"/>
                <w:szCs w:val="24"/>
              </w:rPr>
              <w:t>фторопласт Ф4К20. Материал уплотнения штока фторсилоксановый эластомер. Уплотнение штока и подшипника скольжения фторопласт 4. Размеры по ГОСТ 12815-80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под приварку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стальной шаровый по приварку Ду-15. Материал корпуса </w:t>
            </w:r>
            <w:r>
              <w:rPr>
                <w:rFonts w:ascii="Times New Roman" w:hAnsi="Times New Roman"/>
                <w:sz w:val="24"/>
                <w:szCs w:val="24"/>
              </w:rPr>
              <w:t>сталь не менее 20. Диапазон температур °С не менее от -30 до +200. Материал уплотнения шара фторопласт Ф4К20. Материал уплотнения штока фторсилоксановый эластомер. Уплотнение штока и подшипника скольжения фторопласт более 3. Размеры по ГОСТ 12815-80.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под приварку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номинальный: 20 мм; Давление номинальное 4 (40) МПа (кгс/см2); Класс герметичности - "А". Материал корпуса сталь не менее 20. Диапазон температур не менее от -30 до +200 °С. Материал уплотнения шара </w:t>
            </w:r>
            <w:r>
              <w:rPr>
                <w:rFonts w:ascii="Times New Roman" w:hAnsi="Times New Roman"/>
                <w:sz w:val="24"/>
                <w:szCs w:val="24"/>
              </w:rPr>
              <w:t>фторопласт Ф4К20. Материал уплотнения штока фторсилоксановый эластомер. Уплотнение штока и подшипника скольжения фторопласт более 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под приварку Ду-50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стальной шаровый по приварку Ду-50. Материал корпуса сталь не менее 20.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Диапазон температур не менее чем от -30 до +200 °С. Материал уплотнения шара фторопласт Ф4К20. Материал уплотнения штока фторсилоксановый эластомер. Уплотнение штока и подшипника скольжения фторопласт 4. Размеры по ГОСТ 12815-80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r>
              <w:rPr>
                <w:rFonts w:ascii="Times New Roman" w:hAnsi="Times New Roman"/>
                <w:sz w:val="24"/>
                <w:szCs w:val="24"/>
              </w:rPr>
              <w:t>шаровый полнопроходной муфтовый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муфта-резьба полнопроходной сальниковый Ду15. Максимальное рабочее давление более 4,0 MPa.  Максимальная рабочая температура не менее 185°С при 1,05 МРа. Материал корпуса латунь покрытая никелем или хромир</w:t>
            </w:r>
            <w:r>
              <w:rPr>
                <w:rFonts w:ascii="Times New Roman" w:hAnsi="Times New Roman"/>
                <w:sz w:val="24"/>
                <w:szCs w:val="24"/>
              </w:rPr>
              <w:t>ованная латунь.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полнопроходной муфтовый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шаровый муфтовый полнопроходной сальниковый Ду-20. Максимальное рабочее давление более 4,0 MPa.  Максимальная рабочая температура не менее 185°С при 1,05 МРа. Материал корпуса </w:t>
            </w:r>
            <w:r>
              <w:rPr>
                <w:rFonts w:ascii="Times New Roman" w:hAnsi="Times New Roman"/>
                <w:sz w:val="24"/>
                <w:szCs w:val="24"/>
              </w:rPr>
              <w:t>латунь покрытая никелем или хромированная латунь.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полнопроходной муфтовый Ду-32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муфтовый полнопроходной сальниковый Ду32. Максимальное рабочее давление более 4,0 MPa.  Максимальная рабочая температура не менее 185°С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1,05 МРа. Материал корпуса латунь покрытая никелем или хромированная латунь.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Кран-букса червячная короткая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Кран-букса червячная короткая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для умывальника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2-х кронштейнов умывальника (6х60) комплект.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125х2,5х22мм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армированный по металлу 125х2,5х22мм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Лейка для гигиенического душа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Лейка д/душа 1 реж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режимов 1, высота 3 см, ширина 6,7 см, длина 19 см.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Лента-скотч для теплоизоляции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Лента-скотч для теплоизоляции используется для монтажа теплоизоляции из вспененного полиэтилена. Лента-скотч черного цвета применяется при температуре от +5°С до +40°С (показатель не требует конкретизации), </w:t>
            </w: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-40°С до +125°С (показатель не требует конкретизации).Прочность на разрыв не менее 20 Н/10 мм. Тип клеевого слоя на основе натурального каучука. Толщина клеевого слоя 20 мкм (показатель не требует конкретизации).Толщина основ</w:t>
            </w:r>
            <w:r>
              <w:rPr>
                <w:rFonts w:ascii="Times New Roman" w:hAnsi="Times New Roman"/>
                <w:sz w:val="24"/>
                <w:szCs w:val="24"/>
              </w:rPr>
              <w:t>ы не менее 110 мкм. Длина не менее 25 м. Ширина не менее 50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Люк смоторовой сантехнический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габаритные размеры 20х30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ВГП 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15 мм, с резьбой, материал чугун.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Муфта ВГП  </w:t>
            </w:r>
            <w:r>
              <w:rPr>
                <w:rFonts w:ascii="Times New Roman" w:hAnsi="Times New Roman"/>
                <w:sz w:val="24"/>
                <w:szCs w:val="24"/>
              </w:rPr>
              <w:t>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20 мм, с резьбой, материал чугун.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ВГП  Ду-25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20 мм, без резьбы, материал полипропилен, применение холодное и горячее водоснабжение.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хром, диаметр 15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переходной Ду-15/20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переходной 15/20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для герметизации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Длинна не менее 2000 см., в пластиковом боксе. </w:t>
            </w:r>
            <w:r>
              <w:rPr>
                <w:rFonts w:ascii="Times New Roman" w:hAnsi="Times New Roman"/>
                <w:sz w:val="24"/>
                <w:szCs w:val="24"/>
              </w:rPr>
              <w:t>Резьбовой герметик на основе фторопластовых нитей.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ВГП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15 мм, толщина стенки 2 мм, угол 90 градусов, радиус 28 мм, материал: сталь.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ВГП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20 мм, толщина стенки 2 мм, угол 90 градусов, </w:t>
            </w:r>
            <w:r>
              <w:rPr>
                <w:rFonts w:ascii="Times New Roman" w:hAnsi="Times New Roman"/>
                <w:sz w:val="24"/>
                <w:szCs w:val="24"/>
              </w:rPr>
              <w:t>радиус 29 мм, материал: сталь.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Ду-108*3,5 ст.20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15 мм, толщина стенки 3,5 мм, угол 90 градусов, радиус 28 мм, материал: сталь.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Ду-45*3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45 мм, толщина стенки 3 мм, угол 90 градусов, материал: сталь.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Ду-57*3,5 ст.20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57 мм, толщина стенки 3,5 мм, угол 90 градусов, материал: сталь.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гибкая для воды с внутренней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и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 подводка применяется для запитки водой сантехнического оборудования : подсоединения стиральных и посудомоечных машин, унитазов, бидэ, смесителей,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характеристики: до +110 С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воды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гибкая для воды с внутренней и наружней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и область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 подводка применяется для запитки водой сантехнического оборудования : подсоединения стиральных и пос</w:t>
            </w:r>
            <w:r>
              <w:rPr>
                <w:rFonts w:ascii="Times New Roman" w:hAnsi="Times New Roman"/>
                <w:sz w:val="24"/>
                <w:szCs w:val="24"/>
              </w:rPr>
              <w:t>удомоечных машин, унитазов, бидэ, смесителей,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характеристики: до +110 С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вязальная ОК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вязальная ОК толщина не более 1,2мм, масса бухты более 60кг.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350/100 (6 секций)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 6 секций. Присоединительный размер 100/350мм. Теплотдача не менее 0,145 кВт/секц. Комплект универсальный силиконовый для подключения алюминиевых радиаторов Ду-20. Рабочее давление не менее 2,0 Мпа. Масса секции не б</w:t>
            </w:r>
            <w:r>
              <w:rPr>
                <w:rFonts w:ascii="Times New Roman" w:hAnsi="Times New Roman"/>
                <w:sz w:val="24"/>
                <w:szCs w:val="24"/>
              </w:rPr>
              <w:t>олее 1,21кг.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 500/100 (10 секций)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 10 секций. Присоединительный размер 100/500мм. Теплотдача не менее 0,179 кВт/секц. Рабочее давление не менее 2,0 Мпа. Масса секции не более 1,43кг.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Решетка вентиляционная 250х250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Решетка вентиляционная. Размер 250х250мм. Пластиковая либо металическая. Москитная сетка.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Сварочный аппарат для полипропиленовых труб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 Диаметры свариваемых труб не менее чем от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50мм. Мощность не менее 1500 Вт. Напряжение 220 В. Частота 50 Гц. Рабочая температура не менее 270оС. Нагреватель из нержавеющего материала с возможностью одновременной установки сразу двух нагревательных насадок. Индикатор регулировки термостата не ме</w:t>
            </w:r>
            <w:r>
              <w:rPr>
                <w:rFonts w:ascii="Times New Roman" w:hAnsi="Times New Roman"/>
                <w:sz w:val="24"/>
                <w:szCs w:val="24"/>
              </w:rPr>
              <w:t>нее чем от 50 до 320оС. Кабель питания длиной не менее 160 см. Уровень защиты не менее IP 44. Вес не более 5,0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Комплектность: Насадки для сварочного аппарата с тефлоновым покрытием диаметром 20, 25, 32, 40 мм. Ножницы для резки труб диаметром не менее </w:t>
            </w:r>
            <w:r>
              <w:rPr>
                <w:rFonts w:ascii="Times New Roman" w:hAnsi="Times New Roman"/>
                <w:sz w:val="24"/>
                <w:szCs w:val="24"/>
              </w:rPr>
              <w:t>чем от 16 до 42 мм. Крестовидная подставка для установки сварочного аппарата при выполнении сварочных работ. Уровень, для определения горизонтального наклона свариваемого трубопровода. Ключи, для крепления сварочных насадок. Рулетка длиной 2 или 4 метра. М</w:t>
            </w:r>
            <w:r>
              <w:rPr>
                <w:rFonts w:ascii="Times New Roman" w:hAnsi="Times New Roman"/>
                <w:sz w:val="24"/>
                <w:szCs w:val="24"/>
              </w:rPr>
              <w:t>еталлический ящик для транспортировки сварочного аппарата."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Сгон ВГП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Условный проход: 20 мм; длина: 110 мм; резьба: 3/4", материал: сталь.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Сиденье (насадка) для унитаза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Сиденье для унитаза является удобным санитарным </w:t>
            </w:r>
            <w:r>
              <w:rPr>
                <w:rFonts w:ascii="Times New Roman" w:hAnsi="Times New Roman"/>
                <w:sz w:val="24"/>
                <w:szCs w:val="24"/>
              </w:rPr>
              <w:t>приспособление, увеличивающимвысоту унитаза на 12,5 см. Это позволяет избежать болезненного изгиба коленного сустава. Данная насадка подходит для любого унитаза и не требует специальных инструментов для её установки. Крепление происходит по внутреннему рад</w:t>
            </w:r>
            <w:r>
              <w:rPr>
                <w:rFonts w:ascii="Times New Roman" w:hAnsi="Times New Roman"/>
                <w:sz w:val="24"/>
                <w:szCs w:val="24"/>
              </w:rPr>
              <w:t>иусу с помощью болта в распор. Выполнено сиденье для унитаза из полиэтилена высокой плотности, который допускает обработку дезинфицирующими средствами. Технические характеристики: Высота насадки 13 см; габаритные размеры 44х44х19 см; максимально допустимая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нагрузка 136 кг; вес нетто 2 кг;. Характеристики при транспортировке: Габариты упаковки 61х46х48 см; объём 0,13 м3; вес брутто 9,2 кг; упаковка картон; количество в упаковке 3 шт.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Сиденье для унитаза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материал пластик, цвет белый. </w:t>
            </w:r>
            <w:r>
              <w:rPr>
                <w:rFonts w:ascii="Times New Roman" w:hAnsi="Times New Roman"/>
                <w:sz w:val="24"/>
                <w:szCs w:val="24"/>
              </w:rPr>
              <w:t>Габаритные размеры: ширина не менее 37 см, внутренняя ширина  не менее 21 см, длина не менее 42 см, расстояние между креплениями не менее 13 см.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Силиконовая смазка для РР труб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не менее 250мл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с разрывом струи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трубный для мойки Ду-50мм, цвет белый, материал пластик, наличие гидрозатвора, дренажная воронка, регулировка по высоте.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мойки с вытяжной лейкой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одноручковый для мойки с вытяжной лейкой, Назначение для мойки.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 однорычажный. Запорный клапан керамический картридж. Покрытие никель-хромовое. Форма излива традиционная Конструкция поворотный излив 360 градусов. Комплектация: Душевая лейка выдвижной излив гибкая подводка не менее 35 см, крепеж, шланг не менее1.5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Излив длина не менее 220 мм, высота не менее 165 мм. Размеры (Длина х Высота) не менее 51 х 275 мм. Способ монтажа горизонтальный. Количество монтажных отверстий 1. Переключатель душ/напор на вытяжном гусаке.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для умывальника </w:t>
            </w:r>
            <w:r>
              <w:rPr>
                <w:rFonts w:ascii="Times New Roman" w:hAnsi="Times New Roman"/>
                <w:sz w:val="24"/>
                <w:szCs w:val="24"/>
              </w:rPr>
              <w:t>однорукий с картриджем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Шланги подключения из нержавеющей стали длинной не менее 40 см M10xF1/2, комплект крепления. Картридж диаметром не менее 40мм, одноручковый.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хирургический для мойки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изделия латунь. Покрытие хром. </w:t>
            </w:r>
            <w:r>
              <w:rPr>
                <w:rFonts w:ascii="Times New Roman" w:hAnsi="Times New Roman"/>
                <w:sz w:val="24"/>
                <w:szCs w:val="24"/>
              </w:rPr>
              <w:t>Длина вылета излива не менее 22 см. Длина локтевой ручки не менее 18 см. Комплектация: корпус смесителя, крепеж к мойке, паспорт смесителя. Картридж диаметром не менее 40мм.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хирургический для умывальника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>локтевой для умывальника, с поворотным изливом. Длина локтевой ручки не менее 250 мм. Длина носика не менее 230 мм. Гибкая подводка длинной не менее 520 мм в комплекте. Картридж диаметром более 35мм.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Техпластина ТМКЩ-С 5мм 800х800мм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Техпластины ТМКЩ  - тепло-морозо-кислото-щелоче-стойкие. Температура использования от -45°С до +80°С. Толщина техпластины не менее 5 мм. Размеры не менее 800х800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 РР Ду-50 боковой выпуск (решетка 150*150 пласт)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 полипропиленовый </w:t>
            </w:r>
            <w:r>
              <w:rPr>
                <w:rFonts w:ascii="Times New Roman" w:hAnsi="Times New Roman"/>
                <w:sz w:val="24"/>
                <w:szCs w:val="24"/>
              </w:rPr>
              <w:t>Д-50 боковой выпуск (решетка 150х150 пластмассовая)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 сливной 100х100, Ду-50, нержавейка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 сливной PVB 100x100 PR/DN 50/регулируемый, боковой слив, решетка из нержавеющей стали.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Ду-110х110х45 градусов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Ду-110х110х45 градусов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Диаметр: 20 мм, без резьбы, применение горячее и холодное водоснабжение, материал полипропилен.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хромированный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15 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r>
              <w:rPr>
                <w:rFonts w:ascii="Times New Roman" w:hAnsi="Times New Roman"/>
                <w:sz w:val="24"/>
                <w:szCs w:val="24"/>
              </w:rPr>
              <w:t>теплоизоляцоинная 110/13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"Теплоизоляция для систем отопления и водоснабжения. Состоит из полиэтиленовой пены с закрытой ячеистой структурой. Материал изделий стоек к агрессивным средам, обладает повышенной прочностью, влагостойкостью и долговечностью.Диапа</w:t>
            </w:r>
            <w:r>
              <w:rPr>
                <w:rFonts w:ascii="Times New Roman" w:hAnsi="Times New Roman"/>
                <w:sz w:val="24"/>
                <w:szCs w:val="24"/>
              </w:rPr>
              <w:t>зон рабочих температур:  от - 40°С до + 95°С .Внутренний диаметр изоляции не менее 110мм.Толщина изоляции не менее 13 мм. Группа горючести не менее Г1. Длина трубы не менее 2 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теплоизоляцоинная 89/13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"Теплоизоляция для систем </w:t>
            </w:r>
            <w:r>
              <w:rPr>
                <w:rFonts w:ascii="Times New Roman" w:hAnsi="Times New Roman"/>
                <w:sz w:val="24"/>
                <w:szCs w:val="24"/>
              </w:rPr>
              <w:t>отопления и водоснабжения. Состоит из полиэтиленовой пены с закрытой ячеистой структурой. Материал изделий стоек к агрессивным средам, обладает повышенной прочностью, влагостойкостью и долговечностью.Диапазон рабочих температур:  от - 40°С до + 95°С .Внутр</w:t>
            </w:r>
            <w:r>
              <w:rPr>
                <w:rFonts w:ascii="Times New Roman" w:hAnsi="Times New Roman"/>
                <w:sz w:val="24"/>
                <w:szCs w:val="24"/>
              </w:rPr>
              <w:t>енний диаметр изоляции не менее 89мм.Толщина изоляции не менее 13 мм. Группа горючести не менее Г1. Длина трубы не менее 2 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теплоизоляционная 114/13 (+150 С)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Теплоизоляционная труба  предназначен для изоляции систем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>горячего и холодного водоснабжения, санитарных систем и систем кондиционирования воздуха, а также ограждающих конструкций. Длина не менее 2 м. Толщина стенки не менее 13 мм. Внутренний диаметр 114 мм. Объемное водопоглощение теплоизоляции не более 2%. Тепл</w:t>
            </w:r>
            <w:r>
              <w:rPr>
                <w:rFonts w:ascii="Times New Roman" w:hAnsi="Times New Roman"/>
                <w:sz w:val="24"/>
                <w:szCs w:val="24"/>
              </w:rPr>
              <w:t>опроводность не более 0,038 Вт/м·К. Разрывная прочность не менее 100 кПа. Максимальная рабочая температура не менее 150 град. С. Пожарная безопасность не ниже Г1-В2-Д3-Т2.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теплоизоляционная 28/13 (+150 С)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Теплоизоляционная труба 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изоляции систем отопления, горячего и холодного водоснабжения, санитарных систем и систем кондиционирования воздуха, а также ограждающих конструкций. Длина не менее 2 м. Толщина стенки не менее 13 мм. Внутренний диаметр 28 мм. Объемное вод</w:t>
            </w:r>
            <w:r>
              <w:rPr>
                <w:rFonts w:ascii="Times New Roman" w:hAnsi="Times New Roman"/>
                <w:sz w:val="24"/>
                <w:szCs w:val="24"/>
              </w:rPr>
              <w:t>опоглощение теплоизоляции не более 2%. Теплопроводность не более 0,038 Вт/м·К. Разрывная прочность не менее 100 кПа. Максимальная рабочая температура не менее 150 град. С. Пожарная безопасность не ниже Г1-В2-Д3-Т2.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теплоизоляционная </w:t>
            </w:r>
            <w:r>
              <w:rPr>
                <w:rFonts w:ascii="Times New Roman" w:hAnsi="Times New Roman"/>
                <w:sz w:val="24"/>
                <w:szCs w:val="24"/>
              </w:rPr>
              <w:t>60/13 (+150 С)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Теплоизоляционная труба  предназначен для изоляции систем отопления, горячего и холодного водоснабжения, санитарных систем и систем кондиционирования воздуха, а также ограждающих конструкций. Длина не менее 2 м. Толщина стенки не менее 13 мм</w:t>
            </w:r>
            <w:r>
              <w:rPr>
                <w:rFonts w:ascii="Times New Roman" w:hAnsi="Times New Roman"/>
                <w:sz w:val="24"/>
                <w:szCs w:val="24"/>
              </w:rPr>
              <w:t>. Внутренний диаметр 60 мм. Объемное водопоглощение теплоизоляции не более 2%. Теплопроводность не более 0,038 Вт/м·К. Разрывная прочность не менее 100 кПа. Максимальная рабочая температура не менее 150 град. С. Пожарная безопасность не ниже Г1-В2-Д3-Т2.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Ду-20х90 градусов.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 подвесной с полупьедесталом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 подвесной с полупьедесталом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 с пъедесталом фаянсовый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Умывальник с пъедесталом фаянсовый. Габаритные </w:t>
            </w:r>
            <w:r>
              <w:rPr>
                <w:rFonts w:ascii="Times New Roman" w:hAnsi="Times New Roman"/>
                <w:sz w:val="24"/>
                <w:szCs w:val="24"/>
              </w:rPr>
              <w:t>размеры не менее 602х470мм Высота с пьедесталом не менее 815 мм. Глубина не мегнее 170 мм. Пъедестал без дополнительных перегородок со стороны стены. Наличие сифона. Чаша умывальника с переливом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 хирургический с пъедесталом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 хирургический с пьедесталом фаянсовый. Крепление на 32-см кронштейн, без перелива. Габаритные размеры 590х650х210мм. Допуск габаритных размеров +/- 50мм. Масса менее 19,0 кг. Наличие сифона.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Унитаз компакт фаянсовый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характеристики:Тип установки: напольный; ширина не менее 350 мм; высота не менее 790 мм; глубина не менее 660 мм; материал: фаянс; цвет: белый; сиденье: дюропласт; вид выпуска: косой.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бронзовый сетчатый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Фланец </w:t>
            </w:r>
            <w:r>
              <w:rPr>
                <w:rFonts w:ascii="Times New Roman" w:hAnsi="Times New Roman"/>
                <w:sz w:val="24"/>
                <w:szCs w:val="24"/>
              </w:rPr>
              <w:t>Ду-100 (Ру-10)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100 мм, давление 10 Атм.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Фланец Ду-80 (Ру-10)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80 мм, давление 10 Атм.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имп-имп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 оплетка, длинна не менее 1500мм. Присоединительные размеры 1/2" дюйма.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рус-рус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душевой в металлической оплетке. Длинна не менее 1500мм. Присоединительные размеры 22х1.5мм.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гигиенического душа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MH1001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Латунь,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0.22 кг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Литиевая батарейка сенсорного смесителя Grohe 42886000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литиевая батарея для электронных смесителей Grohe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1600 mAh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6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36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38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товара: 42886000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 GROHE Германия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имп-рус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Шланг для смесителя душевой в металлической оплетке. Длинна не менее 1500мм. Присоединительные размеры 1/2"-М22х1.5мм.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Ду-50х500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используются для внутренней разводки в системах канализации в жилых, административных и промышленных зданиях с максимальной температурой сточной жидкости до 95 градусов. Технические характеристики: диаметр не менее 50 мм; толщина стенки, S не менее 1,8 мм;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0,5 м; материал - полипропилен; назначение канализации - внутренняя.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Ду-50х2000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Трубы полипропиленовые используются для внутренней разводки в системах канализации в жилых, административных и промышленных зданиях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максимальной температурой сточной жидкости до 95 градусов. Технические характеристики: диаметр не менее 50 мм; толщина стенки, S не менее 1,8 мм; длина не менее 2 м; материал - полипропилен; назначение канализации -внутренняя.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РР </w:t>
            </w:r>
            <w:r>
              <w:rPr>
                <w:rFonts w:ascii="Times New Roman" w:hAnsi="Times New Roman"/>
                <w:sz w:val="24"/>
                <w:szCs w:val="24"/>
              </w:rPr>
              <w:t>Ду-50х1000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Ду-110х500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используются для внутренней разводки в системах канализации в жилых, административных и промышленных зданиях с максимальной температурой сточной жидкости до 95 градусов.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диаметр не менее 110 мм; толщина стенки, S - 2,7 мм; длина не менее 0,5 м; материал - полипропилен. Назначение канализации - внутренняя.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Ду-110х2000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используются для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t>разводки в системах канализации в жилых, административных и промышленных зданиях с максимальной температурой сточной жидкости до 95 градусов. Технические характеристики: диаметр не менее 110 мм; толщина стенки, S - 2,7 мм; длина не менее 2 м; материал - по</w:t>
            </w:r>
            <w:r>
              <w:rPr>
                <w:rFonts w:ascii="Times New Roman" w:hAnsi="Times New Roman"/>
                <w:sz w:val="24"/>
                <w:szCs w:val="24"/>
              </w:rPr>
              <w:t>липропилен. Назначение канализации - внутренняя.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Ду-110х1000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полипропиленовые используются для внутренней разводки в системах канализации в жилых, административных и промышленных зданиях с максимальной температурой сточной </w:t>
            </w:r>
            <w:r>
              <w:rPr>
                <w:rFonts w:ascii="Times New Roman" w:hAnsi="Times New Roman"/>
                <w:sz w:val="24"/>
                <w:szCs w:val="24"/>
              </w:rPr>
              <w:t>жидкости до 95 градусов. Технические характеристики: диаметр не менее 110 мм; толщина стенки, S - 2,7 мм; длина не менее 1 м; материал - полипропилен. Назначение канализации - внутренняя.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PN20 Д-20*3,4(1/2")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напорные из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полипропилена рандомсополимера (РР-R 80) армированные стекловолокном для систем горячего водоснабжения.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Предназначены для трубопроводов горячего водоснабжения с рабочим давлением не более 0,6 МПа при температуре воды плюс 75°С. Трубы также могут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ться для хозяйственно-питьевого водоснабжения с рабочим давлением не более 2,0 МПа при температуре воды плюс 20°С. В сравнении с обычной напорной полипропиленовой трубой имеют большую степень жесткости и меньший коэфициент теплового линейного расширения 0,</w:t>
            </w:r>
            <w:r>
              <w:rPr>
                <w:rFonts w:ascii="Times New Roman" w:hAnsi="Times New Roman"/>
                <w:sz w:val="24"/>
                <w:szCs w:val="24"/>
              </w:rPr>
              <w:t>035 мм/(м х К). Технические характеристики: диаметр наружный не менее 20 мм; толщина стенки, S не менее 3,4 мм; длина не менее 4 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Ду-50х50х45 градусов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Фитинги полипропиленовые используются для внутренней разводки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канализации в жилых, административных и промышленных зданиях с максимальной температурой сточной жидкости до 95 градусов. Технические характеристики: диаметр не менее 50/50 мм; угол 45 град; материал - полипропилен; назначение канализации - внутренняя.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мойки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мойки, кран-буксы керамика. Шланги подключения из нержавеющей стали длинной не менее 40 см., присоединительной резьбой М10xF1/2, комплект крепления.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в ванную с аксесуарами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Cмеситель в </w:t>
            </w:r>
            <w:r>
              <w:rPr>
                <w:rFonts w:ascii="Times New Roman" w:hAnsi="Times New Roman"/>
                <w:sz w:val="24"/>
                <w:szCs w:val="24"/>
              </w:rPr>
              <w:t>ванную с аксессуарами. Излив "S" не менее 18x300 мм, одноручковый, картридж диаметром не менее 40мм, дивертер, эксцентрики с тарелочками, душевой шланг не менее 150 см.Con/Imp двойной, душевая лейка, держатель для душа.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</w:t>
            </w:r>
            <w:r>
              <w:rPr>
                <w:rFonts w:ascii="Times New Roman" w:hAnsi="Times New Roman"/>
                <w:sz w:val="24"/>
                <w:szCs w:val="24"/>
              </w:rPr>
              <w:t>умывальника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умывальника 40х40/50мм. Решетка металическая, гофра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мойки бутылочнй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мойки бутылочный 11/2х40мм. Решетка металическая, гофра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ванны поворотный с выпуском и переливом 40х40/50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ванны поворотный с выпуском и переливом 40х40/50мм.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чугунных труб Ду-50 с манжетой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чугунных труб Ду-50 с манжетой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PN25 Д-25*4,2 (3/4) L-4,0 м (стекловолокно)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напорные из </w:t>
            </w:r>
            <w:r>
              <w:rPr>
                <w:rFonts w:ascii="Times New Roman" w:hAnsi="Times New Roman"/>
                <w:sz w:val="24"/>
                <w:szCs w:val="24"/>
              </w:rPr>
              <w:t>полипропилена рандомсополимера (РР-R 80) для систем холодного и горячего водоснабжения. Предназначены для использования в трубопроводных системах хозяйственно-питьевого водоснабжения, в том числе: холодного водоснабжения с температурой плюс 20 и рабочим да</w:t>
            </w:r>
            <w:r>
              <w:rPr>
                <w:rFonts w:ascii="Times New Roman" w:hAnsi="Times New Roman"/>
                <w:sz w:val="24"/>
                <w:szCs w:val="24"/>
              </w:rPr>
              <w:t>влением 1 и 2 МПа; горячего водоснабжения с температурой плюс 75 и рабочим давлением 0.6 МПа. Диаметр наружный 25 мм. Толщина стенки, S 4,2 мм. Длина не менее 4 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чугунных труб Ду-110 с манжетой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Переходник для чугунных труб </w:t>
            </w:r>
            <w:r>
              <w:rPr>
                <w:rFonts w:ascii="Times New Roman" w:hAnsi="Times New Roman"/>
                <w:sz w:val="24"/>
                <w:szCs w:val="24"/>
              </w:rPr>
              <w:t>Ду-110 с манжетой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Ду110х90 градусов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Ду110х90 градусов.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Ду-50х90 градусов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Ду-50х90 градусов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Ду-50х45 градусов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Ду-50х45 градусов.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Отвод РР </w:t>
            </w:r>
            <w:r>
              <w:rPr>
                <w:rFonts w:ascii="Times New Roman" w:hAnsi="Times New Roman"/>
                <w:sz w:val="24"/>
                <w:szCs w:val="24"/>
              </w:rPr>
              <w:t>Ду-110х45 градусов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РР Ду-110х45 градусов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для труб РР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для РР труб Ду-20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Обводное колено РР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Обводное колено РР Ду-20мм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Настенный комплект для смесителя РР Д-20х1/2" Планка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Настенный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для смесителя полипропиленовый Д-20х1/2" Планка.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 (нар.р) Ду-20*1/2"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разъемная, наружная резьба Ду-20*1/2". Холодное водоснабжение, горячее водоснабжение.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эксцентрический. Внутренний диаметр 110мм.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Люк смотровой сантехнический 600х400 мм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Пластиковый или металлический с магнитом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шаровый полнопроходной муфтовый </w:t>
            </w:r>
            <w:r>
              <w:rPr>
                <w:rFonts w:ascii="Times New Roman" w:hAnsi="Times New Roman"/>
                <w:sz w:val="24"/>
                <w:szCs w:val="24"/>
              </w:rPr>
              <w:t>Ду-40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муфтовый полнопроходной сальниковый Ду40. Максимальное рабочее давление более 4,0 MPa.  Максимальная рабочая температура не менее 185°С при 1,05 МРа. Материал корпуса латунь покрытая никелем или хромированная латунь.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под приварку Ду-40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муфтовый полнопроходной с накидной гайкой Ду-20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шаровый муфтовый полнопроходной сальниковый с накидной гайкой Ду20. Максимальное рабочее давление более 4,0 MPa.  Максимальная рабочая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температура не менее 185°С при 1,05 МРа. Материал корпуса латунь покрытая никелем или хромированная латунь.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 муфта-резьба полнопроходной сальниковый Ду-15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шаровый муфта-резьба полнопроходной сальниковый Ду15. 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t>рабочее давление более 4,0 MPa.  Максимальная рабочая температура не менее 185°С при 1,05 МРа. Материал корпуса латунь покрытая никелем или хромированная латунь.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силиконовый сантехнический </w:t>
            </w:r>
            <w:r>
              <w:rPr>
                <w:rFonts w:ascii="Times New Roman" w:hAnsi="Times New Roman"/>
                <w:sz w:val="24"/>
                <w:szCs w:val="24"/>
              </w:rPr>
              <w:t>белый. Упаковка более 250мл.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 нижняя подводка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универсальная. Кнопка хромированная. Нижняя подводка.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для смывного бачка универсальная боковая </w:t>
            </w:r>
            <w:r>
              <w:rPr>
                <w:rFonts w:ascii="Times New Roman" w:hAnsi="Times New Roman"/>
                <w:sz w:val="24"/>
                <w:szCs w:val="24"/>
              </w:rPr>
              <w:t>подводка</w:t>
            </w:r>
          </w:p>
        </w:tc>
        <w:tc>
          <w:tcPr>
            <w:tcW w:w="2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универсальная. Кнопка хромированная. Боковая подводка.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670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1E03" w:rsidRDefault="0008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280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121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  <w:tc>
          <w:tcPr>
            <w:tcW w:w="1494" w:type="dxa"/>
            <w:shd w:val="clear" w:color="FFFFFF" w:fill="auto"/>
            <w:vAlign w:val="bottom"/>
          </w:tcPr>
          <w:p w:rsidR="00081E03" w:rsidRDefault="00081E03">
            <w:pPr>
              <w:rPr>
                <w:szCs w:val="16"/>
              </w:rPr>
            </w:pP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1E03" w:rsidTr="00670E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8" w:type="dxa"/>
            <w:gridSpan w:val="8"/>
            <w:shd w:val="clear" w:color="FFFFFF" w:fill="auto"/>
            <w:vAlign w:val="bottom"/>
          </w:tcPr>
          <w:p w:rsidR="00081E03" w:rsidRDefault="0067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670EC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E03"/>
    <w:rsid w:val="00081E03"/>
    <w:rsid w:val="006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319CA-FC4B-4184-B1CC-F98F953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3907</Words>
  <Characters>22270</Characters>
  <Application>Microsoft Office Word</Application>
  <DocSecurity>0</DocSecurity>
  <Lines>185</Lines>
  <Paragraphs>52</Paragraphs>
  <ScaleCrop>false</ScaleCrop>
  <Company/>
  <LinksUpToDate>false</LinksUpToDate>
  <CharactersWithSpaces>26125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2021-06-01T02:07:00Z</dcterms:created>
  <dcterms:modified xsi:type="dcterms:W3CDTF">2021-06-01T02:07:00Z</dcterms:modified>
</cp:coreProperties>
</file>