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3"/>
        <w:gridCol w:w="2189"/>
        <w:gridCol w:w="2466"/>
        <w:gridCol w:w="908"/>
        <w:gridCol w:w="702"/>
        <w:gridCol w:w="925"/>
        <w:gridCol w:w="1771"/>
        <w:gridCol w:w="1485"/>
      </w:tblGrid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41798A">
              <w:rPr>
                <w:rFonts w:ascii="Times New Roman" w:hAnsi="Times New Roman"/>
                <w:sz w:val="22"/>
              </w:rPr>
              <w:t>Е</w:t>
            </w:r>
            <w:r w:rsidRPr="0041798A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41798A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41798A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41798A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41798A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41798A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  <w:lang w:val="en-US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 w:rsidP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26.05.2021 г. №.650-2021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  <w:p w:rsidR="0077642E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ОКПД2/КТРУ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41798A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1798A">
              <w:rPr>
                <w:rFonts w:ascii="Times New Roman" w:hAnsi="Times New Roman"/>
                <w:b/>
                <w:sz w:val="22"/>
              </w:rPr>
              <w:t>Остаточный срок годности</w:t>
            </w: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Депротеинизатор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CELLCLEAN (CL-50)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Особо чистый, бесцветный (без механических и биологических примесей) раствор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гипохлорида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41798A">
              <w:rPr>
                <w:rFonts w:ascii="Times New Roman" w:hAnsi="Times New Roman"/>
                <w:sz w:val="22"/>
              </w:rPr>
              <w:t>натрия  (</w:t>
            </w:r>
            <w:proofErr w:type="spellStart"/>
            <w:proofErr w:type="gramEnd"/>
            <w:r w:rsidRPr="0041798A">
              <w:rPr>
                <w:rFonts w:ascii="Times New Roman" w:hAnsi="Times New Roman"/>
                <w:sz w:val="22"/>
              </w:rPr>
              <w:t>ClHO.Na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), концентрация активного хлора – 5%,  используется в качестве сильного щелочного детергента для удаления остатков клеток, белков крови 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лизирующих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реагентов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 в гидравлической системе, роторного клапана образцов, трубок,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аспирирующих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цельную кровь и проточной камере  измерения гемоглобина для полностью автоматизированных гематологических анализаторов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. Упаковка – пластиковая четырехгранная бутылка 50 м л. Реагент должен соответствовать рекомендациям завода-производителя гематологических анализаторов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изложенных в Главе 4 Руководства пользователя к гематологическому </w:t>
            </w:r>
            <w:r w:rsidRPr="0041798A">
              <w:rPr>
                <w:rFonts w:ascii="Times New Roman" w:hAnsi="Times New Roman"/>
                <w:sz w:val="22"/>
              </w:rPr>
              <w:lastRenderedPageBreak/>
              <w:t xml:space="preserve">анализатору XT-4000i, прилагаемых в обязательном порядке к поставленному оборудованию. Это исключает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перекалибровку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прибора после установки нового лота реагента. Производство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Corporation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Japan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Дилюент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Реагент используется для разбавления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аспирированных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татрахлорат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серий XP-300, XT-1800i, XT-2000i, XS-500i, XS-1000i.</w:t>
            </w:r>
            <w:r w:rsidRPr="0041798A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Капилляр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lastRenderedPageBreak/>
              <w:t>Панченкова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 xml:space="preserve">Пипетка стеклянная к </w:t>
            </w:r>
            <w:r w:rsidRPr="0041798A">
              <w:rPr>
                <w:rFonts w:ascii="Times New Roman" w:hAnsi="Times New Roman"/>
                <w:sz w:val="22"/>
              </w:rPr>
              <w:lastRenderedPageBreak/>
              <w:t xml:space="preserve">СОЭ-метру (Капилляр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Панченкова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100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шт.в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.) Длина 174,5мм.</w:t>
            </w:r>
            <w:r w:rsidRPr="0041798A">
              <w:rPr>
                <w:rFonts w:ascii="Times New Roman" w:hAnsi="Times New Roman"/>
                <w:sz w:val="22"/>
              </w:rPr>
              <w:br/>
            </w:r>
            <w:r w:rsidRPr="0041798A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lastRenderedPageBreak/>
              <w:t>уп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Контрольный материал предназначен для проведения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внутрилабораторного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XP-300. Аттестованные параметры: WBC, RBC, HGB, HCT, MCV, MCH, MCHC, PLT, LYM, MXD, NEUT, RDW-CV, RDW-SD, PDW, MPV, P-LCR, PCT.</w:t>
            </w:r>
            <w:r w:rsidRPr="0041798A">
              <w:rPr>
                <w:rFonts w:ascii="Times New Roman" w:hAnsi="Times New Roman"/>
                <w:sz w:val="22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уровня низкой концентрации, 1 флакон х 2 мл уровня высокой концентрации и 2 флакон х 2 мл уровня 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Контрольные растворы тест-полоски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Контрольный раствор используется для проверки надлежащей работы портативной системы контроля уровня глюкозы в крови «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УанТач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ВериоПро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+» (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OneTouch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VerioPro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+) вместе с тест-полосками. В упаковке три уровня раствора: низкий, средний и высокий – каждый 3,8 </w:t>
            </w:r>
            <w:r w:rsidRPr="0041798A">
              <w:rPr>
                <w:rFonts w:ascii="Times New Roman" w:hAnsi="Times New Roman"/>
                <w:sz w:val="22"/>
              </w:rPr>
              <w:lastRenderedPageBreak/>
              <w:t>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Одноразовые концентраторы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Одноразовые концентраторы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Parasep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клонорхоз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фасциолез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дикроцелиоз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метагонимоз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нанофиетоз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дифиллоботриоз,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гименолепидоз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аскаридоз, трихоцефалез, анкилостомидозы,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стронгилоидоз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трихостронгилез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некатороз,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шистосомоз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кишечные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протозоозы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лямблиоз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криптоспоридиоз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изоспороз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 w:rsidRPr="0041798A">
              <w:rPr>
                <w:rFonts w:ascii="Times New Roman" w:hAnsi="Times New Roman"/>
                <w:sz w:val="22"/>
              </w:rPr>
              <w:t>элементов:</w:t>
            </w:r>
            <w:r w:rsidRPr="0041798A">
              <w:rPr>
                <w:rFonts w:ascii="Times New Roman" w:hAnsi="Times New Roman"/>
                <w:sz w:val="22"/>
              </w:rPr>
              <w:br/>
              <w:t>•</w:t>
            </w:r>
            <w:proofErr w:type="gramEnd"/>
            <w:r w:rsidRPr="0041798A">
              <w:rPr>
                <w:rFonts w:ascii="Times New Roman" w:hAnsi="Times New Roman"/>
                <w:sz w:val="22"/>
              </w:rPr>
              <w:t xml:space="preserve">  пробирка для образца, в которую уже залита эфир-формалиновая смесь и тритон-X</w:t>
            </w:r>
            <w:r w:rsidRPr="0041798A">
              <w:rPr>
                <w:rFonts w:ascii="Times New Roman" w:hAnsi="Times New Roman"/>
                <w:sz w:val="22"/>
              </w:rPr>
              <w:br/>
              <w:t>•  фильтр со шпателем для образца</w:t>
            </w:r>
            <w:r w:rsidRPr="0041798A">
              <w:rPr>
                <w:rFonts w:ascii="Times New Roman" w:hAnsi="Times New Roman"/>
                <w:sz w:val="22"/>
              </w:rPr>
              <w:br/>
              <w:t>•  коническая ёмкость для сбора отфильтрованного материала</w:t>
            </w:r>
            <w:r w:rsidRPr="0041798A">
              <w:rPr>
                <w:rFonts w:ascii="Times New Roman" w:hAnsi="Times New Roman"/>
                <w:sz w:val="22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Набор для определения ассоциированных с сифилисом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реагиновых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реагиновых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антител (окрашенная суспензия)500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определенийПолный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аналог RPR-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тестаНабор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рассчитан на </w:t>
            </w:r>
            <w:r w:rsidRPr="0041798A">
              <w:rPr>
                <w:rFonts w:ascii="Times New Roman" w:hAnsi="Times New Roman"/>
                <w:sz w:val="22"/>
              </w:rPr>
              <w:lastRenderedPageBreak/>
              <w:t xml:space="preserve">проведение не менее 500 определений на тест-картах в реакции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микропреципитации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ассоциированных с сифилисом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реагиновых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антител, включая исследование контрольных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образцов.Форма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выпуска: окрашенная суспензия для проведения реакции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микропреципитации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с кардиолипиновым антигеном на пластиковых тест-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картахКА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(кардиолипиновый антиген) – суспензия, содержащая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кардиолипин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концентрации 0,0125 моль/л 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тимеросала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- консерванта в конечной концентрации 0,1%, краситель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судан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черный.Дополнительно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КА.Время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анализа не более 10 минут. Срок годности не менее 18 месяцев.</w:t>
            </w:r>
            <w:r w:rsidRPr="0041798A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Наконечник полимерный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однораз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 к дозаторам пипеточным НП-"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Термо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Фишер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Сайентифик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" для 1-канального дозатора (5-300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мкл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) 1000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шт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Наконечник к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микродозатору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1-канальный, полимерный, одноразовый к дозаторам пипеточным НП "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Термо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Электрон" (объем 5 - 300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мкл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) "универсал" 1000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Пробирка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lastRenderedPageBreak/>
              <w:t>микроцентрифужная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типа "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Эппендорф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 xml:space="preserve">Пробирка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lastRenderedPageBreak/>
              <w:t>микроцентрифужная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, изготовлена из полипропилена, с винтовой крышкой,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обьем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не более 2,0 мл, не менее 500 штук в упаковке Возможность хранения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микропроб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сыворотки крови и других биологических </w:t>
            </w:r>
            <w:proofErr w:type="gramStart"/>
            <w:r w:rsidRPr="0041798A">
              <w:rPr>
                <w:rFonts w:ascii="Times New Roman" w:hAnsi="Times New Roman"/>
                <w:sz w:val="22"/>
              </w:rPr>
              <w:t>жидкостей,  при</w:t>
            </w:r>
            <w:proofErr w:type="gramEnd"/>
            <w:r w:rsidRPr="0041798A">
              <w:rPr>
                <w:rFonts w:ascii="Times New Roman" w:hAnsi="Times New Roman"/>
                <w:sz w:val="22"/>
              </w:rPr>
              <w:t xml:space="preserve"> температуре -90°С. Имеет уплотнительное резиновое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кольцо.Кольцо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сделано из термопластичного синтетического каучука. Имеет юбку устойчивости.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Реагент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лизирующий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Реагент используется для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лизирования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(в комбинации со специальным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лизирующим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раствором) эритроцитов в анализируемых пробах с целью измерения количества лейкоцитов методом кондуктометрии и концентрации гемоглобина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бесцианидным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методом. Предназначен для использования только с реагентами и анализатором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XP-300. Состав реагента: водный раствор, содержащий органический четвертичный хлористый аммоний 8,5 г/л, хлорид натрия 0,6 г/л. Фасовка: 3 пластиковых флакона. Объем - 500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Sysmex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r w:rsidRPr="0041798A">
              <w:rPr>
                <w:rFonts w:ascii="Times New Roman" w:hAnsi="Times New Roman"/>
                <w:sz w:val="22"/>
              </w:rPr>
              <w:lastRenderedPageBreak/>
              <w:t xml:space="preserve">XP-300. Хранится в темном месте при температуре +2...+35 °C. Если емкость остается невскрытой, то реагент можно использовать в течении всего срока годности, указанной на упаковке. Стабилен после вскрытия 90 дней.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Stromatolayser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-WN 3*500ml.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Тест-полоски к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УанТачВерио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Про Плюс (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OneTouchVerioPro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invitro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Тест-полоски для анализатора мочи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Тест полоски </w:t>
            </w:r>
            <w:proofErr w:type="spellStart"/>
            <w:proofErr w:type="gramStart"/>
            <w:r w:rsidRPr="0041798A">
              <w:rPr>
                <w:rFonts w:ascii="Times New Roman" w:hAnsi="Times New Roman"/>
                <w:sz w:val="22"/>
              </w:rPr>
              <w:t>Мультистикс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 Тест</w:t>
            </w:r>
            <w:proofErr w:type="gramEnd"/>
            <w:r w:rsidRPr="0041798A">
              <w:rPr>
                <w:rFonts w:ascii="Times New Roman" w:hAnsi="Times New Roman"/>
                <w:sz w:val="22"/>
              </w:rPr>
              <w:t xml:space="preserve">-полоски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Multistix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10 SG (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Мультистикс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уробилиноген.мочи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Clinitek-</w:t>
            </w:r>
            <w:proofErr w:type="gramStart"/>
            <w:r w:rsidRPr="0041798A">
              <w:rPr>
                <w:rFonts w:ascii="Times New Roman" w:hAnsi="Times New Roman"/>
                <w:sz w:val="22"/>
              </w:rPr>
              <w:t>Status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 (</w:t>
            </w:r>
            <w:proofErr w:type="gramEnd"/>
            <w:r w:rsidRPr="0041798A">
              <w:rPr>
                <w:rFonts w:ascii="Times New Roman" w:hAnsi="Times New Roman"/>
                <w:sz w:val="22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Тест-полоски для анализатора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Аккутренд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 xml:space="preserve"> для определения уровня холестерина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Тест-полоски для определения уровня холестерина в капиллярной крови при помощи портативного биохимического анализатора </w:t>
            </w:r>
            <w:proofErr w:type="spellStart"/>
            <w:r w:rsidRPr="0041798A">
              <w:rPr>
                <w:rFonts w:ascii="Times New Roman" w:hAnsi="Times New Roman"/>
                <w:sz w:val="22"/>
              </w:rPr>
              <w:t>Аккутренд</w:t>
            </w:r>
            <w:proofErr w:type="spellEnd"/>
            <w:r w:rsidRPr="0041798A">
              <w:rPr>
                <w:rFonts w:ascii="Times New Roman" w:hAnsi="Times New Roman"/>
                <w:sz w:val="22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1798A">
              <w:rPr>
                <w:rFonts w:ascii="Times New Roman" w:hAnsi="Times New Roman"/>
                <w:sz w:val="22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77642E">
            <w:pPr>
              <w:jc w:val="center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4D0C" w:rsidRPr="0041798A" w:rsidRDefault="00364D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77642E" w:rsidP="002856CE">
            <w:pPr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364D0C" w:rsidRPr="004179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77642E">
            <w:pPr>
              <w:jc w:val="both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       Цена должна </w:t>
            </w:r>
            <w:r w:rsidR="0041798A">
              <w:rPr>
                <w:rFonts w:ascii="Times New Roman" w:hAnsi="Times New Roman"/>
                <w:sz w:val="22"/>
              </w:rPr>
              <w:t xml:space="preserve">быть указана с учетом доставки </w:t>
            </w:r>
            <w:r w:rsidRPr="0041798A">
              <w:rPr>
                <w:rFonts w:ascii="Times New Roman" w:hAnsi="Times New Roman"/>
                <w:sz w:val="22"/>
              </w:rPr>
              <w:t>до КГБУЗ «Краевая клиническая больница» г.</w:t>
            </w:r>
            <w:r w:rsidR="0041798A">
              <w:rPr>
                <w:rFonts w:ascii="Times New Roman" w:hAnsi="Times New Roman"/>
                <w:sz w:val="22"/>
              </w:rPr>
              <w:t xml:space="preserve"> </w:t>
            </w:r>
            <w:r w:rsidRPr="0041798A">
              <w:rPr>
                <w:rFonts w:ascii="Times New Roman" w:hAnsi="Times New Roman"/>
                <w:sz w:val="22"/>
              </w:rPr>
              <w:t xml:space="preserve">Красноярск, ул. Партизана Железняка, 3. </w:t>
            </w:r>
          </w:p>
        </w:tc>
      </w:tr>
      <w:tr w:rsidR="00364D0C" w:rsidRPr="004179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77642E">
            <w:pPr>
              <w:jc w:val="both"/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41798A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41798A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4D0C" w:rsidRPr="0041798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77642E" w:rsidP="0041798A">
            <w:pPr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 xml:space="preserve">       Предложения принимаются в срок до </w:t>
            </w:r>
            <w:r w:rsidR="0041798A">
              <w:rPr>
                <w:rFonts w:ascii="Times New Roman" w:hAnsi="Times New Roman"/>
                <w:sz w:val="22"/>
              </w:rPr>
              <w:t>28</w:t>
            </w:r>
            <w:r w:rsidRPr="0041798A">
              <w:rPr>
                <w:rFonts w:ascii="Times New Roman" w:hAnsi="Times New Roman"/>
                <w:sz w:val="22"/>
              </w:rPr>
              <w:t xml:space="preserve">.05.2021 17:00:00 по местному времени. </w:t>
            </w:r>
          </w:p>
        </w:tc>
      </w:tr>
      <w:tr w:rsidR="00364D0C" w:rsidRPr="004179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77642E">
            <w:pPr>
              <w:rPr>
                <w:rFonts w:ascii="Times New Roman" w:hAnsi="Times New Roman"/>
                <w:sz w:val="22"/>
              </w:rPr>
            </w:pPr>
            <w:r w:rsidRPr="0041798A">
              <w:rPr>
                <w:rFonts w:ascii="Times New Roman" w:hAnsi="Times New Roman"/>
                <w:sz w:val="22"/>
              </w:rPr>
              <w:t>Руководитель контрактной службы________________________/Куликова И.О./</w:t>
            </w:r>
          </w:p>
        </w:tc>
      </w:tr>
      <w:tr w:rsidR="00364D0C" w:rsidRPr="004179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4D0C" w:rsidRPr="0041798A" w:rsidRDefault="00364D0C">
            <w:pPr>
              <w:rPr>
                <w:sz w:val="22"/>
              </w:rPr>
            </w:pPr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</w:tr>
      <w:tr w:rsidR="00364D0C" w:rsidRPr="0041798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4D0C" w:rsidRPr="0041798A" w:rsidRDefault="00364D0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979AB" w:rsidRPr="0041798A" w:rsidRDefault="001979AB"/>
    <w:sectPr w:rsidR="001979AB" w:rsidRPr="0041798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D0C"/>
    <w:rsid w:val="001979AB"/>
    <w:rsid w:val="002856CE"/>
    <w:rsid w:val="00364D0C"/>
    <w:rsid w:val="0041798A"/>
    <w:rsid w:val="004F15C1"/>
    <w:rsid w:val="007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BCBD2-4387-4AC7-8AF0-2B63741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2021-05-26T05:42:00Z</dcterms:created>
  <dcterms:modified xsi:type="dcterms:W3CDTF">2021-05-26T06:09:00Z</dcterms:modified>
</cp:coreProperties>
</file>