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759B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 w:rsidRPr="00A450E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59BC" w:rsidRPr="002E7224" w:rsidRDefault="002E722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7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E722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E7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E722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E72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E722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759BC" w:rsidRPr="002E7224" w:rsidRDefault="000759B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759BC" w:rsidRPr="002E7224" w:rsidRDefault="000759B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759BC" w:rsidRPr="002E7224" w:rsidRDefault="000759B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759BC" w:rsidRPr="002E7224" w:rsidRDefault="000759B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759BC" w:rsidRPr="002E7224" w:rsidRDefault="000759B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759BC" w:rsidRPr="002E7224" w:rsidRDefault="000759B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759BC" w:rsidRPr="002E7224" w:rsidRDefault="000759BC">
            <w:pPr>
              <w:rPr>
                <w:lang w:val="en-US"/>
              </w:rPr>
            </w:pPr>
          </w:p>
        </w:tc>
      </w:tr>
      <w:tr w:rsidR="000759B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59BC" w:rsidRDefault="00A450E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  <w:r w:rsidR="002E7224">
              <w:rPr>
                <w:rFonts w:ascii="Times New Roman" w:hAnsi="Times New Roman"/>
                <w:sz w:val="24"/>
                <w:szCs w:val="24"/>
              </w:rPr>
              <w:t>.2023 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7224">
              <w:rPr>
                <w:rFonts w:ascii="Times New Roman" w:hAnsi="Times New Roman"/>
                <w:sz w:val="24"/>
                <w:szCs w:val="24"/>
              </w:rPr>
              <w:t>649-2023_________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759BC" w:rsidRDefault="000759BC"/>
        </w:tc>
        <w:tc>
          <w:tcPr>
            <w:tcW w:w="2535" w:type="dxa"/>
            <w:shd w:val="clear" w:color="auto" w:fill="auto"/>
            <w:vAlign w:val="bottom"/>
          </w:tcPr>
          <w:p w:rsidR="000759BC" w:rsidRDefault="000759BC"/>
        </w:tc>
        <w:tc>
          <w:tcPr>
            <w:tcW w:w="3315" w:type="dxa"/>
            <w:shd w:val="clear" w:color="auto" w:fill="auto"/>
            <w:vAlign w:val="bottom"/>
          </w:tcPr>
          <w:p w:rsidR="000759BC" w:rsidRDefault="000759BC"/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759BC" w:rsidRDefault="000759BC"/>
        </w:tc>
        <w:tc>
          <w:tcPr>
            <w:tcW w:w="2535" w:type="dxa"/>
            <w:shd w:val="clear" w:color="auto" w:fill="auto"/>
            <w:vAlign w:val="bottom"/>
          </w:tcPr>
          <w:p w:rsidR="000759BC" w:rsidRDefault="000759BC"/>
        </w:tc>
        <w:tc>
          <w:tcPr>
            <w:tcW w:w="3315" w:type="dxa"/>
            <w:shd w:val="clear" w:color="auto" w:fill="auto"/>
            <w:vAlign w:val="bottom"/>
          </w:tcPr>
          <w:p w:rsidR="000759BC" w:rsidRDefault="000759BC"/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759B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759B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Аппарат сшивающий линейный перезаряжаемый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Аппарат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-режущий линейный ECHELON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с изменяющимся углом рабочей части, эндоскопический, электрический, автономный, длина ствола 440 мм.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троакаров  XCEL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мм, для прошивания тканей с наложением двух тройных рядов титановых скобок в шахматном порядке и одновременным рассечением ткани между ними. Индикация блокировки аппарата, блок управления артикуляцией и ротацией ствола, функция принудительного возврата лезвия в исходное положение и принудительного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Аппарат имеет две рукоятки: упорную рукоятку и рукоятку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 одной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сантиметровая шкала, маркировка дистального/проксимального краев прошивания. Укрепленный закрытый канал продвижения ножа в кассетной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хирургической стали 400-й серии для обеспечения должной компрессии тканей.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выгибаются при прошивании. Пазы для формовки скобок в опорной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расположены в 6 рядов, соответственно рядам скобок в сменной кассете. Литое лезвие выполнено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стали  400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-й серии и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рамках допустимого количества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прошиваний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(12). Направляющая лезвия встроена в аппарат. Инструменты имеют линию скобочного шва длиной 60 мм и линию разреза длиной 57 мм. Ствол длиной 44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360 градусов. Наличие механизма, гарантирующего параллельность положения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прошивании (3 уровня стабилизации зазора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  механизм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пассивной артикуляции.  Рычаг прошивания с предохранителем. Узел артикуляции интегрирован в ствол аппарата. Артикуляция 45 градусов в каждую сторону. Количество фиксированных положений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Покрытие, защищающее узел артикуляции от попадания в него тканей.  Система возврата ножа позволяет вернуть нож в каждый момент прошивания. В упаковку с инструментом входит первичный литиевый аккумуляторный блок, который необходимо установить перед использованием. Аккумуляторный блок рассчитан на 12 часов с момента первой инсталляции в аппарат. Блокирование артикуляции при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Блокирование аппарата при отсутствии, неправильно вставленной или использованной кассете. Возможность комплектования кассетами для тканей различной толщины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 видов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кассет), которые обеспечивают наложение 6 рядов скобок. Аппарат может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перезаряжен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раз. Предназначен для использования у одного пациента. Поставляется стерильным.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0759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0759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Аппарат сшивающий линейный перезаряжаемый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эндоскопический сшивающий артикуляционный удлиненный ECHELON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60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линейный, с ножом, 440 мм. Эндоскопический артикуляционный линейный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-режущий аппарат 60 мм,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троакаров  XCEL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мм, для прошивания тканей с наложением двух тройных рядов титановых скобок в шахматном порядке и одновременным рассечением ткани между ними. Цифровая индикация положения лезвия в 3-х позициях, индикация блокировки аппарата, блок управления артикуляцией и ротацией ствола, функция принудительного возврата лезвия в исходное положение и принудительного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Аппарат имеет три рукоятки: упорную рукоятку, рукоятку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рукоятку прошивания. На одной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индикатор положения лезвия, сантиметровая шкала, маркировка дистального/проксимального краев прошивания и дистального края разреза.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хирургической стали 400-й серии для обеспечения должной компрессии тканей.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выгибаются при прошивании. Пазы для формовки скобок в опорной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расположены в 6 рядов, соответственно рядам скобок в сменной кассете. Литое лезвие выполнено из стали 400-й серии и обеспечивает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рамках допустимого количества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прошиваний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(12). Направляющая лезвия встроена в аппарат. Ствол длиной 44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360 градусов. Наличие механизма, гарантирующего параллельность положения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прошивании (3 уровня стабилизации зазора), возможность использования аппарата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артикулирования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 при помощи одной руки. Интегрированный механизм снижения усилия для прошивания. Узел артикуляции интегрирован в ствол аппарата. Возможность пассивной артикуляции об органы или инструменты с последующей фиксацией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выбранном положении артикуляции. Артикуляция 45 градусов в каждую сторону. Количество фиксированных положений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Покрытие, защищающее узел артикуляции от попадания в него тканей. Цикл прошивания: полное прошивание кассеты за 3-кратное нажатие рукоятки для прошивания, и возврат лезвия 4-м нажатием рукоятки для прошивания. Возможность прошивания части кассеты. Возврат лезвия в исходное положение контролируемое. Раздельное смыкание рукояток сведения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прошивания, препятствующее случайному прошиванию. Наличие индикатора направления движения лезвия. Блокирование артикуляции при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Блокирование аппарата при отсутствии, неправильно вставленной или использованной кассете. Возможность комплектования кассетами для тканей различной толщины, которые обеспечивают наложение 6 рядов скобок. Аппарат может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перезаряжен  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раз. Предназначен для использования у одного пациента. Поставляется стерильным.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0759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0759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калибровочный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бариатрии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Зонд калибровочный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бариатрии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39Fr, длина 1400 см. Силиконовый калибровочный зонд для продольной резекции желудка. Наружный диаметр 13 мм, толщина стенки не менее 2 мм, количество отверстий: 2; длина: 1400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цветные метки. Стерильный.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0759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0759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35-36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диссекционно-коагуляционный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 основе ультразвуковых колебаний, преобразованных в механические продольные колебания рабочей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ствола не менее 36 см, диаметр ствола не более 5,5 мм. Наличие: антибликовое покрытие ствола, пистолетная рукоятка куркового типа, две кнопки активации, ротационное кольцо, вращение инструмента на 360 градусов,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изогнутая длинной не более 15 мм, шириной не более 1,5 мм, высотой не более 2,2 мм, пассивная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длиной не более 16 мм, шириной не более 2,5 мм, высотой не более 1 мм, с пластиковой накладкой с насечками, апертура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12 мм, резиновые накладки на рукоятке и кнопках активации, резьбовой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рукоятью. Совместим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ультразвуковм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генератором HARMONIC GEN04. Поставляется стерильным.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0759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0759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ультразвуковые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ультразвуковые с эргономичной пистолетной рукояткой для открытых и эндоскопических операций, с ручной активацией. Предназначены для одновременного рассечения и коагуляции тканей и сосудов диаметром до 7 мм. При отсутствии активации могут использоваться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граспера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диссектора. Частота колебания титанового лезвия ножниц в продольном направлении 55,5 кГц. Возможность активации насадки с помощью кнопок включения в минимальном и максимальном режимах мощности, в режиме усовершенствованного гемостаза, расположенных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передней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боковой поверхности корпуса насадки для быстрого доступа, или с помощью ножного привода (педали) для минимального и максимального режимов мощности. Корпус рукоятки имеет встроенный механизм тактильной и звуковой индикации полного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сведени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системы обратной связи с генератором и контроля температуры активного лезвия насадки, посредством генератора G11 (Джен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Илевен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повышения эффективности и скорости работы инструментом,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снижения уровня латерального повреждения тканей.  Наличие функции усовершенствованного гемостаза позволяет проводить коагуляцию сосудов до 7 мм в диаметре. Кнопка усовершенствованного гемостаза для удобства использования вынесена на боковую панель с обеих сторон корпуса и выделена зеленым цветом. Наличие дополнительного звукового сигнала, оповещающего о начале повышения температуры активного лезвия, для более совершенного контроля качества гемостаза. Ствол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антибликым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покрытием.  Длина ствола 45 см от конца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кольца ротации. Диаметр ствола 5 мм. Ротация ствола на 360 градусов осуществляется при помощи ротационного кольца, расположенного на стыке ствола и рукоятки насадки (для быстрого доступа при помощи одной руки) -  облегчает визуализацию и доступ к операционному полю. Индикатор длины 5 мм на обеих боковых сторонах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резьбового разъема для соединения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лапаросонической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рукояткой. Пистолетная рукоятка сведения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Наличие резиновых прокладок на внутренней стороне рукоятки сведения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кнопках ручной активации и ротационном кольце, препятствующих скольжению и способствующих комфортному размещению руки хирурга. Рабочая часть состоит из активной (лезвие) и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Активная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титановая, с покрытием, для снижения степени налипания, изогнутая, для улучшения визуализации рабочего пространства, имеет в сечении шестигранную форму. Выпуклая и изогнутая поверхности, а также проксимальная часть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обладают более выраженным эффектом коагуляции тканей. Острые верхняя и нижняя грани, а также дистальная часть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(кончик)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ообладают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более выраженным эффектом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тканей. Пассивная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пластиковую накладку с насечками для улучшения фиксации ткани. Длина активной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(лезвия) 15 мм. Ширина пассивной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2,67 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Аппертура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11,35 мм. Комплектуются замком рабочей части. Предназначены для использования у одного пациента, не подлежат повторной стерилизации. Поставляются стерильными. Может применяться у пациентов с кардиостимуляторами. Совместимы с генератором GEN11 при помощи специального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адаптера  насадок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«Гармоник».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0759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0759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 M2 (3/0)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безузловой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тканей,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окрашенная, изготовленная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полидиоксанона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который не имеет антигенной активности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имеет на своей поверхности специальные однонаправленные шипы, расположенные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спирали,  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требующие использования узлов для соединения противоположных краев раны и петлю на конце для фиксации ткани.  Окрашена в контрастный цвет. Нить сохраняет 80% первоначальной прочности на разрыв IN VIVO через 4 недели и 40-70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 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 недель после имплантации.  Срок полного рассасывания 210 дней. Нить обладает клинически доказанными антисептическими свойствами для профилактики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проявляет клинически доказанную антимикробную активность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MRSA,MRSE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Klebsiella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 в концентрации, достаточной для подавления роста указанных штаммов микроорганизмов.  Метрический размер 2, условный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 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-0. Длина нити  15 см. Одна игла. Игла изготовлена из коррозионностойкого высокопрочного сплава,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 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захвата. Игла колющая, 1/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 окружности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26 мм длиной.  Стерильный внутренний вкладыш из пластика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к внутреннему вкладышу в одно движение для минимизации временных затрат на манипуляции с нитью. 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 длину нити,  длину иглы, обозначение типа иглы, кривизны иглы, количества игл; информацию о сроке годности, номере партии(серии), изображение иглы в натуральную величину, указание о стерильности с указанием метода стерилизации, указание об однократном применении; 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длину нити, длину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внутреннем вкладыше обеспечивает ее прямолинейность после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возникновение эффекта "памяти формы".  Игла зафиксирована,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задействуя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острие иглы на внутреннем лотке, что предотвращает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затупление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иглодержателя в одно движение.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 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применению на русском языке.  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0759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0759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Троакар хирургический одноразовый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Оптический троакар диаметром 12,7 мм без лезвия с прозрачной канюлей и прозрачным обтуратором. Материал изготовления поликарбонат. В корпусе троакара предусмотрено двойное уплотнение, исключающее потерю среды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пневмоперитонеума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введении и извлечении инструмента. Уплотнительная система состоит из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газоустойчивости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уплотняющего колпачка. Клапан введения газа и уплотнительный колпачок должны предотвращать утечку газа, при давлении воздуха 4 кПа. Уплотняющим колпачком является встроенное саморегулирующееся уплотнение (материал изготовление силикон), позволяющее введение инструментов диаметром от 5 до 12 мм (неизменяемый показатель). Клапан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газоустойчивости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собой лепестковый клапан, изготовленный из полиэтилена. Клапан введения газа совместим со стандартным разъемом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быстрой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газа.  В комплект входит: одна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прозрачная канюля длиной 150 мм, с умеренно скошенным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концом. Канюля троакара имеет прерывистую кольцевую резьбу с витками на расстоянии 2 ± 0,5 мм, что позволяет, с одной стороны, легко вводить троакар в ткань, а с другой стороны, прочно его там фиксировать без дополнительного прошивания. Также в комплект входит один обтуратор с внутренним каналом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лапароскопа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прозрачным наконечником, позволяющим визуализировать ткани в процессе входа в брюшную полость. Обтуратор имеет наконечник в форме конуса, вогнутого с двух сторон без лезвия. Стерильный, для однократного применения. Срок годности 5 лет с момента стерилизации. Инструкция на русском языке.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2E722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0759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759BC" w:rsidRDefault="000759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759BC" w:rsidRDefault="000759BC"/>
        </w:tc>
        <w:tc>
          <w:tcPr>
            <w:tcW w:w="2535" w:type="dxa"/>
            <w:shd w:val="clear" w:color="auto" w:fill="auto"/>
            <w:vAlign w:val="bottom"/>
          </w:tcPr>
          <w:p w:rsidR="000759BC" w:rsidRDefault="000759BC"/>
        </w:tc>
        <w:tc>
          <w:tcPr>
            <w:tcW w:w="3315" w:type="dxa"/>
            <w:shd w:val="clear" w:color="auto" w:fill="auto"/>
            <w:vAlign w:val="bottom"/>
          </w:tcPr>
          <w:p w:rsidR="000759BC" w:rsidRDefault="000759BC"/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59BC" w:rsidRDefault="002E7224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</w:t>
            </w:r>
            <w:r w:rsidR="00A450EC">
              <w:rPr>
                <w:rFonts w:ascii="Times New Roman" w:hAnsi="Times New Roman"/>
                <w:sz w:val="28"/>
                <w:szCs w:val="28"/>
              </w:rPr>
              <w:t>а/получения заявки на поставку.</w:t>
            </w:r>
          </w:p>
        </w:tc>
      </w:tr>
      <w:tr w:rsidR="000759BC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759BC" w:rsidRDefault="000759BC"/>
        </w:tc>
        <w:tc>
          <w:tcPr>
            <w:tcW w:w="2535" w:type="dxa"/>
            <w:shd w:val="clear" w:color="auto" w:fill="auto"/>
            <w:vAlign w:val="bottom"/>
          </w:tcPr>
          <w:p w:rsidR="000759BC" w:rsidRDefault="000759BC"/>
        </w:tc>
        <w:tc>
          <w:tcPr>
            <w:tcW w:w="3315" w:type="dxa"/>
            <w:shd w:val="clear" w:color="auto" w:fill="auto"/>
            <w:vAlign w:val="bottom"/>
          </w:tcPr>
          <w:p w:rsidR="000759BC" w:rsidRDefault="000759BC"/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59BC" w:rsidRDefault="002E722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</w:t>
            </w:r>
            <w:r w:rsidR="00A450EC">
              <w:rPr>
                <w:rFonts w:ascii="Times New Roman" w:hAnsi="Times New Roman"/>
                <w:sz w:val="28"/>
                <w:szCs w:val="28"/>
              </w:rPr>
              <w:t xml:space="preserve">быть указана с учетом доставки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до КГБУЗ «Краевая клиническая больница» г.</w:t>
            </w:r>
            <w:r w:rsidR="00A450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0759BC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759BC" w:rsidRDefault="000759BC"/>
        </w:tc>
        <w:tc>
          <w:tcPr>
            <w:tcW w:w="2535" w:type="dxa"/>
            <w:shd w:val="clear" w:color="auto" w:fill="auto"/>
            <w:vAlign w:val="bottom"/>
          </w:tcPr>
          <w:p w:rsidR="000759BC" w:rsidRDefault="000759BC"/>
        </w:tc>
        <w:tc>
          <w:tcPr>
            <w:tcW w:w="3315" w:type="dxa"/>
            <w:shd w:val="clear" w:color="auto" w:fill="auto"/>
            <w:vAlign w:val="bottom"/>
          </w:tcPr>
          <w:p w:rsidR="000759BC" w:rsidRDefault="000759BC"/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59BC" w:rsidRDefault="002E7224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759BC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759BC" w:rsidRDefault="000759BC"/>
        </w:tc>
        <w:tc>
          <w:tcPr>
            <w:tcW w:w="2535" w:type="dxa"/>
            <w:shd w:val="clear" w:color="auto" w:fill="auto"/>
            <w:vAlign w:val="bottom"/>
          </w:tcPr>
          <w:p w:rsidR="000759BC" w:rsidRDefault="000759BC"/>
        </w:tc>
        <w:tc>
          <w:tcPr>
            <w:tcW w:w="3315" w:type="dxa"/>
            <w:shd w:val="clear" w:color="auto" w:fill="auto"/>
            <w:vAlign w:val="bottom"/>
          </w:tcPr>
          <w:p w:rsidR="000759BC" w:rsidRDefault="000759BC"/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59BC" w:rsidRDefault="002E7224"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A450EC">
              <w:rPr>
                <w:rFonts w:ascii="Times New Roman" w:hAnsi="Times New Roman"/>
                <w:sz w:val="28"/>
                <w:szCs w:val="28"/>
              </w:rPr>
              <w:t>ложения принимаются в срок до 05.05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0759B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759BC" w:rsidRDefault="000759BC"/>
        </w:tc>
        <w:tc>
          <w:tcPr>
            <w:tcW w:w="2535" w:type="dxa"/>
            <w:shd w:val="clear" w:color="auto" w:fill="auto"/>
            <w:vAlign w:val="bottom"/>
          </w:tcPr>
          <w:p w:rsidR="000759BC" w:rsidRDefault="000759BC"/>
        </w:tc>
        <w:tc>
          <w:tcPr>
            <w:tcW w:w="3315" w:type="dxa"/>
            <w:shd w:val="clear" w:color="auto" w:fill="auto"/>
            <w:vAlign w:val="bottom"/>
          </w:tcPr>
          <w:p w:rsidR="000759BC" w:rsidRDefault="000759BC"/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59BC" w:rsidRDefault="002E7224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759B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759BC" w:rsidRDefault="000759BC"/>
        </w:tc>
        <w:tc>
          <w:tcPr>
            <w:tcW w:w="2535" w:type="dxa"/>
            <w:shd w:val="clear" w:color="auto" w:fill="auto"/>
            <w:vAlign w:val="bottom"/>
          </w:tcPr>
          <w:p w:rsidR="000759BC" w:rsidRDefault="000759BC"/>
        </w:tc>
        <w:tc>
          <w:tcPr>
            <w:tcW w:w="3315" w:type="dxa"/>
            <w:shd w:val="clear" w:color="auto" w:fill="auto"/>
            <w:vAlign w:val="bottom"/>
          </w:tcPr>
          <w:p w:rsidR="000759BC" w:rsidRDefault="000759BC"/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759BC" w:rsidRDefault="000759BC"/>
        </w:tc>
        <w:tc>
          <w:tcPr>
            <w:tcW w:w="2535" w:type="dxa"/>
            <w:shd w:val="clear" w:color="auto" w:fill="auto"/>
            <w:vAlign w:val="bottom"/>
          </w:tcPr>
          <w:p w:rsidR="000759BC" w:rsidRDefault="000759BC"/>
        </w:tc>
        <w:tc>
          <w:tcPr>
            <w:tcW w:w="3315" w:type="dxa"/>
            <w:shd w:val="clear" w:color="auto" w:fill="auto"/>
            <w:vAlign w:val="bottom"/>
          </w:tcPr>
          <w:p w:rsidR="000759BC" w:rsidRDefault="000759BC"/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759BC" w:rsidRDefault="000759BC"/>
        </w:tc>
        <w:tc>
          <w:tcPr>
            <w:tcW w:w="2535" w:type="dxa"/>
            <w:shd w:val="clear" w:color="auto" w:fill="auto"/>
            <w:vAlign w:val="bottom"/>
          </w:tcPr>
          <w:p w:rsidR="000759BC" w:rsidRDefault="000759BC"/>
        </w:tc>
        <w:tc>
          <w:tcPr>
            <w:tcW w:w="3315" w:type="dxa"/>
            <w:shd w:val="clear" w:color="auto" w:fill="auto"/>
            <w:vAlign w:val="bottom"/>
          </w:tcPr>
          <w:p w:rsidR="000759BC" w:rsidRDefault="000759BC"/>
        </w:tc>
        <w:tc>
          <w:tcPr>
            <w:tcW w:w="1125" w:type="dxa"/>
            <w:shd w:val="clear" w:color="auto" w:fill="auto"/>
            <w:vAlign w:val="bottom"/>
          </w:tcPr>
          <w:p w:rsidR="000759BC" w:rsidRDefault="000759BC"/>
        </w:tc>
        <w:tc>
          <w:tcPr>
            <w:tcW w:w="1275" w:type="dxa"/>
            <w:shd w:val="clear" w:color="auto" w:fill="auto"/>
            <w:vAlign w:val="bottom"/>
          </w:tcPr>
          <w:p w:rsidR="000759BC" w:rsidRDefault="000759BC"/>
        </w:tc>
        <w:tc>
          <w:tcPr>
            <w:tcW w:w="1470" w:type="dxa"/>
            <w:shd w:val="clear" w:color="auto" w:fill="auto"/>
            <w:vAlign w:val="bottom"/>
          </w:tcPr>
          <w:p w:rsidR="000759BC" w:rsidRDefault="000759BC"/>
        </w:tc>
        <w:tc>
          <w:tcPr>
            <w:tcW w:w="2100" w:type="dxa"/>
            <w:shd w:val="clear" w:color="auto" w:fill="auto"/>
            <w:vAlign w:val="bottom"/>
          </w:tcPr>
          <w:p w:rsidR="000759BC" w:rsidRDefault="000759BC"/>
        </w:tc>
        <w:tc>
          <w:tcPr>
            <w:tcW w:w="1995" w:type="dxa"/>
            <w:shd w:val="clear" w:color="auto" w:fill="auto"/>
            <w:vAlign w:val="bottom"/>
          </w:tcPr>
          <w:p w:rsidR="000759BC" w:rsidRDefault="000759BC"/>
        </w:tc>
        <w:tc>
          <w:tcPr>
            <w:tcW w:w="1650" w:type="dxa"/>
            <w:shd w:val="clear" w:color="auto" w:fill="auto"/>
            <w:vAlign w:val="bottom"/>
          </w:tcPr>
          <w:p w:rsidR="000759BC" w:rsidRDefault="000759BC"/>
        </w:tc>
        <w:tc>
          <w:tcPr>
            <w:tcW w:w="1905" w:type="dxa"/>
            <w:shd w:val="clear" w:color="auto" w:fill="auto"/>
            <w:vAlign w:val="bottom"/>
          </w:tcPr>
          <w:p w:rsidR="000759BC" w:rsidRDefault="000759BC"/>
        </w:tc>
      </w:tr>
      <w:tr w:rsidR="000759B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59BC" w:rsidRDefault="002E7224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759BC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759BC" w:rsidRDefault="002E7224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A1283" w:rsidRDefault="00DA1283"/>
    <w:sectPr w:rsidR="00DA128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9BC"/>
    <w:rsid w:val="000759BC"/>
    <w:rsid w:val="002E7224"/>
    <w:rsid w:val="00A450EC"/>
    <w:rsid w:val="00DA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64E8E-0B69-43BF-ACE6-7344ECA9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2432</Words>
  <Characters>13864</Characters>
  <Application>Microsoft Office Word</Application>
  <DocSecurity>0</DocSecurity>
  <Lines>115</Lines>
  <Paragraphs>32</Paragraphs>
  <ScaleCrop>false</ScaleCrop>
  <Company/>
  <LinksUpToDate>false</LinksUpToDate>
  <CharactersWithSpaces>16264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Бастрыгина Мария Вадимовна</cp:lastModifiedBy>
  <cp:revision>3</cp:revision>
  <dcterms:created xsi:type="dcterms:W3CDTF">2023-04-14T04:43:00Z</dcterms:created>
  <dcterms:modified xsi:type="dcterms:W3CDTF">2023-05-02T04:50:00Z</dcterms:modified>
</cp:coreProperties>
</file>