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9"/>
        <w:gridCol w:w="2352"/>
        <w:gridCol w:w="2390"/>
        <w:gridCol w:w="683"/>
        <w:gridCol w:w="847"/>
        <w:gridCol w:w="1054"/>
        <w:gridCol w:w="1825"/>
        <w:gridCol w:w="1073"/>
      </w:tblGrid>
      <w:tr w:rsidR="00306E3B" w:rsidRPr="007A7842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shd w:val="clear" w:color="FFFFFF" w:fill="auto"/>
            <w:vAlign w:val="bottom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A7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A7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A7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A7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A7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306E3B" w:rsidRPr="007A7842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Http://www.medgorod.ru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7A7842" w:rsidRDefault="001C3C77" w:rsidP="005A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572B" w:rsidRPr="007A7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572B" w:rsidRPr="007A7842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72B" w:rsidRPr="007A7842">
              <w:rPr>
                <w:rFonts w:ascii="Times New Roman" w:hAnsi="Times New Roman" w:cs="Times New Roman"/>
                <w:sz w:val="24"/>
                <w:szCs w:val="24"/>
              </w:rPr>
              <w:t xml:space="preserve"> г. №.</w:t>
            </w:r>
            <w:r w:rsidR="0002719E" w:rsidRPr="007A78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5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02719E">
        <w:trPr>
          <w:trHeight w:val="60"/>
        </w:trPr>
        <w:tc>
          <w:tcPr>
            <w:tcW w:w="549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02719E">
        <w:trPr>
          <w:trHeight w:val="60"/>
        </w:trPr>
        <w:tc>
          <w:tcPr>
            <w:tcW w:w="549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02719E">
        <w:trPr>
          <w:trHeight w:val="60"/>
        </w:trPr>
        <w:tc>
          <w:tcPr>
            <w:tcW w:w="9700" w:type="dxa"/>
            <w:gridSpan w:val="7"/>
            <w:shd w:val="clear" w:color="FFFFFF" w:fill="auto"/>
            <w:vAlign w:val="bottom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842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842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7B0E44" w:rsidRPr="007A7842">
              <w:rPr>
                <w:rFonts w:ascii="Times New Roman" w:hAnsi="Times New Roman" w:cs="Times New Roman"/>
                <w:sz w:val="28"/>
                <w:szCs w:val="28"/>
              </w:rPr>
              <w:t xml:space="preserve"> или эквивалент</w:t>
            </w:r>
            <w:r w:rsidRPr="007A78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06E3B" w:rsidRPr="007A7842" w:rsidTr="0002719E"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A7842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Pr="007A7842" w:rsidRDefault="001C3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b/>
                <w:sz w:val="24"/>
                <w:szCs w:val="24"/>
              </w:rPr>
              <w:t>КТРУ</w:t>
            </w:r>
          </w:p>
        </w:tc>
      </w:tr>
      <w:tr w:rsidR="007A7842" w:rsidRPr="007A7842" w:rsidTr="0002719E"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5A50E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Зонд для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энтерального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gram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питания  СН</w:t>
            </w:r>
            <w:proofErr w:type="gram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12, длина 100 см, стилет</w:t>
            </w:r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Зонд для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энтерального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питания. Материал – полиуретан. Гибкая полиуретановая олива на конце с двумя боковыми отверстиями. Просвет не перекрывается при скручивании. Прозрачный полиуретан,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рентгенконтрастная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полоса, нестираемые метки длины с интервалом 10 см, полый стилет из нержавеющей стали с разъемом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Люэр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лок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, обработанный силиконовой смазкой, конусообразное соединение с двойной крышкой, состоящей из перфорированной части с возможностью подсоединения шприца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Люэр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и крышки, герметично закрывающей систему. В комплект входит универсальный конусовидный коннектор с интегрированным шприцевым адаптером. Размеры: наружный диаметр СН 12.0/3,6 мм «значение параметра не требует конкретизации», внутренний диаметр 2,8 мм, эффективная длина </w:t>
            </w: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не менее 100 см. Предназначен для длительного использования. Максимальный срок использования не менее 30 дней (значение параметра не требует конкретизации).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шт</w:t>
            </w:r>
            <w:proofErr w:type="spellEnd"/>
          </w:p>
        </w:tc>
        <w:tc>
          <w:tcPr>
            <w:tcW w:w="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1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7842" w:rsidRPr="007A7842" w:rsidRDefault="007A7842" w:rsidP="007A7842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A7842" w:rsidRPr="007A7842" w:rsidTr="0002719E"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5A50E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Магистраль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инфузионная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, стандартная, длина 250 см</w:t>
            </w:r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Инфузионная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система для волюметрического насоса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ИнфузоматСпэйс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(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Инфузомат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ФМС). Состав: Пункционные наконечник, вентиляционный канал с антибактериальным фильтром с заглушкой, выделенный капельник объемом 20 капель = 1 мл, прозрачная верхняя часть капельной камеры и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элатичная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нижняя часть, интегрированный фильтр 15 мкм, прозрачная трубка длиной 85,5 см с установленным роликовым зажимом, силиконовый сегмент длиной 10 см с двумя фиксаторами для перистальтического сегмента насоса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ИнфузоматСпэйс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(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Инфузомат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ФМС), прозрачная трубка длиной 145 см с интегрированным винтовым коннектором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Люэрлок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. Резистентность к давлению в системе - 2 бар (1500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ммHg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3700</w:t>
            </w:r>
          </w:p>
        </w:tc>
        <w:tc>
          <w:tcPr>
            <w:tcW w:w="1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7842" w:rsidRPr="007A7842" w:rsidRDefault="007A7842" w:rsidP="007A7842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A7842" w:rsidRPr="007A7842" w:rsidTr="0002719E"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5A50E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Магистраль для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энтерального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питания, 320 см, коннектор EN-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Lock</w:t>
            </w:r>
            <w:proofErr w:type="spellEnd"/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Инфузионная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система для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энтерального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питания при помощи волюметрического насоса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Инфузомат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Спэйс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Инфузомат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ФМС с коннектором типа EN-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Lock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. Состав: Универсальный адаптер, подходящий для стеклянных бутылок с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энтеральным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питанием с узким горлышком, пластиковых бутылок с широким горлышком, а также пластиковых пакетов; капельная </w:t>
            </w: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 xml:space="preserve">камера с прозрачной верхней частью и эластичной нижней частью; прозрачная трубка без ПВХ с установленным роликовым зажимом; силиконовый сегмент длиной 10 см с двумя фиксаторами для перистальтического сегмента насоса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Инфузомат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Спэйс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Инфузомат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ФМС; дополнительный порт для инъекций с инвертированным коннектором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Люэр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лок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; коннектор к зондам для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энтерального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питания с соединением типа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ENLock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; коннектор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Люэр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лок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. Длина системы – 320 см. Для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инфузии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под давлением. Резистентность к давлению в системе - Не ниже 2 бар (1500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ммHg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) (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эначение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параметра не требует конкретизации). 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шт</w:t>
            </w:r>
            <w:proofErr w:type="spellEnd"/>
          </w:p>
        </w:tc>
        <w:tc>
          <w:tcPr>
            <w:tcW w:w="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7842" w:rsidRPr="007A7842" w:rsidRDefault="007A7842" w:rsidP="007A7842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A7842" w:rsidRPr="007A7842" w:rsidTr="0002719E"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5A50E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A50E2">
              <w:rPr>
                <w:rFonts w:ascii="Times New Roman" w:hAnsi="Times New Roman" w:cs="Times New Roman"/>
                <w:color w:val="000000"/>
                <w:sz w:val="22"/>
              </w:rPr>
              <w:t>Набор для мониторинга</w:t>
            </w:r>
            <w:r w:rsidR="007A7842" w:rsidRPr="007A7842">
              <w:rPr>
                <w:rFonts w:ascii="Times New Roman" w:hAnsi="Times New Roman" w:cs="Times New Roman"/>
                <w:color w:val="000000"/>
                <w:sz w:val="22"/>
              </w:rPr>
              <w:t>, 1 преобразователь, система забора крови</w:t>
            </w:r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Набор для мониторинга с одноразовым преобразователем для измерения давления и камерой для закрытого забора крови. Полный комплект: интегрированный резервуар и порт для закрытого забора крови, высокая точность при анализе газов крови и низкий риск контаминации при малом объеме используемой крови, ускорение и упрощение процедуры благодаря резервуару и порту. Набор для </w:t>
            </w:r>
            <w:proofErr w:type="gram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мониторинга :</w:t>
            </w:r>
            <w:proofErr w:type="gram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инфузионная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система , промывное устройство  3 мл/ч, одноразовый преобразователь, трехходовой кран, красный, линия высокого давления  1,5×2,7×1800 мм, красная, с интегрированной камерой 5 мл (в 20 см </w:t>
            </w: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 xml:space="preserve">перед датчиком) и портом для забора крови (в 30 см перед дистальным концом). 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шт</w:t>
            </w:r>
            <w:proofErr w:type="spellEnd"/>
          </w:p>
        </w:tc>
        <w:tc>
          <w:tcPr>
            <w:tcW w:w="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1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7842" w:rsidRPr="007A7842" w:rsidRDefault="007A7842" w:rsidP="007A7842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A7842" w:rsidRPr="007A7842" w:rsidTr="0002719E"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5A50E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Набор для введения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энтерального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питания, универсальный адаптер</w:t>
            </w:r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Набор для введения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энтерального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питания при помощи насоса «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Энтеропорт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плюс» из пластикового пакета в зонд пациента. Состав: универсальный адаптер, подходящий для стеклянных бутылок с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энтеральным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питанием с узким горлышком, пластиковых бутылок с широким горлышком, а также пластиковых пакетов, капельная камера с вентиляционным каналом; прозрачная трубка Ø 4 мм из ПВХ без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фталатов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с роликовым зажимом; фиксирующая пластина, совместимая с насосом для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энтерального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питания «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Энтеропорт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плюс»;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безыгольный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Y-порт, адаптер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Люэр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Лок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(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female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) с конусным коннектором для соединения с зондами для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энтерального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питания с коннекторами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Люэр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,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Люэр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Лок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и коническими коннекторами любого диаметра. Длина устройства 210 см. В набор входит пластиковый держатель для подвешивания на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инфузионных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стойках стеклянных бутылок объемом 500 мл. В индивидуальной упаковке. Стерильно.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7842" w:rsidRPr="007A7842" w:rsidRDefault="007A7842" w:rsidP="007A7842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A7842" w:rsidRPr="007A7842" w:rsidTr="0002719E"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5A50E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Набор для катетеризации артерий 20G/80 мм</w:t>
            </w:r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Набор для катетеризации периферических артерий по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Сельдингеру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, для инвазивного измерения гемодинамического давления и взятия проб крови, со встроенной удлинительной линией и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гемостатическим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клапаном. Катетер из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фторэтиленпропилена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, </w:t>
            </w: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 xml:space="preserve">20G/1,08 мм (значение параметра не требует конкретизации) длиной не менее 80мм, с гладкой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атромбогенной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поверхностью, полностью совместим с тканями и кровью, особая форма кончика облегчает введение катетера и обеспечивает хорошее скольжение при установке. Фиксирующие крылья - крылья из полиуретана прилегают к коже, имеют три отверстия для подшивания. Удлинительная линия, из полиуретана длиной 7см, позволяет подсоединить шприц или </w:t>
            </w:r>
            <w:proofErr w:type="gram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линию  «</w:t>
            </w:r>
            <w:proofErr w:type="gram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значение параметра не требует конкретизации» для измерения давления на удалении от места пункции, что уменьшает вероятность деформации катетера в месте пункции при проведении манипуляций.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Гемостатический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клапан не влияет на результаты измерения артериального давления, открывается автоматически при подсоединении линии высокого давления и закрывается при ее отсоединении, высокая герметичность клапана предупреждает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подтекание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крови и облегчает манипуляции.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Интродьюсерная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игла из нержавеющей стали 20G, 0,95 мм на 50мм, цельный конический павильон снижает риск пункционной травмы и облегчает введение проводника, имеет винтовое соединение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Люэр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лок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. Проводник из нержавеющей стали 35 см на 0,025 дюйма имеет гибкий прямой кончик, диаметр проводника </w:t>
            </w: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соответствует диаметру катетера.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шт</w:t>
            </w:r>
            <w:proofErr w:type="spellEnd"/>
          </w:p>
        </w:tc>
        <w:tc>
          <w:tcPr>
            <w:tcW w:w="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1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7842" w:rsidRPr="007A7842" w:rsidRDefault="007A7842" w:rsidP="007A7842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A7842" w:rsidRPr="007A7842" w:rsidTr="0002719E"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5A50E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Набор для контроля кровяного давления, 2 преобразователя, без крепежной планки</w:t>
            </w:r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Набор для измерения венозного и артериального давления с двумя одноразовыми преобразователями. Состав набора: Преобразователь венозного давления одноразовый - Встроенный под углом 45° трехходовой кран, полное предварительное тестирование, совместимость с любыми CF – мониторами, Преобразователь артериального давления одноразовый - Встроенный под углом 45° трехходовой кран, полное предварительное тестирование, совместимость с любыми CF – мониторами (Два преобразователя давления необходимы для измерения артериального и венозного давления. Встроенный под углом 45° трехходовой кран позволяет подсоединить дополнительные устройства без риска смещения преобразователя давления, а также служит для обнуления давления в системе. Полное предварительное тестирование позволяет ускорить процесс установки набора. Совместимость с любыми мониторами делает набор универсальным), Рабочее напряжение – 2-10В (значение параметра не требует конкретизации), Диапазон измерений – -50-300 мм рт. ст. (с полным покрытием диапазона</w:t>
            </w:r>
            <w:proofErr w:type="gram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) ,Предельное</w:t>
            </w:r>
            <w:proofErr w:type="gram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давление – 6000 мм рт.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ст.,Рабочая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температура </w:t>
            </w: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- +15° - +40°С (с полным покрытием диапазона) . Чувствительность - 5 мкВ/В/мм рт. ст., Отклонение/асимметрия (значение параметра не требует конкретизации) - Макс. ± 30мм рт. ст., Дрейф отклонения (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offset-drift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) - ± 1 мм рт. ст. в течение 8 ч± 2 мм рт. ст. в течение 24 ч, Изолирующее сопротивление – 1000 </w:t>
            </w:r>
            <w:proofErr w:type="gram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Мом..</w:t>
            </w:r>
            <w:proofErr w:type="gram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Прочие </w:t>
            </w:r>
            <w:proofErr w:type="gram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компоненты:  Двойная</w:t>
            </w:r>
            <w:proofErr w:type="gram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инфузионная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система, магистрали высокого давления c цветовой кодировкой (синий – венозная, красный- артериальная). Трехходовые краны, промывные устройства с клапанами для быстрой промывки со скоростью не менее 1 мл/сек (значение параметра не требует конкретизации) и постоянной промывки системы со скоростью 3 мл/ч под давлением 300 мм рт. ст., встроенные кабели с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четырехконтактными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разъемами, совместимыми с соединительным кабелем типа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Комбитранс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шт</w:t>
            </w:r>
            <w:proofErr w:type="spellEnd"/>
          </w:p>
        </w:tc>
        <w:tc>
          <w:tcPr>
            <w:tcW w:w="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7842" w:rsidRPr="007A7842" w:rsidRDefault="007A7842" w:rsidP="007A7842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A7842" w:rsidRPr="007A7842" w:rsidTr="0002719E"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5A50E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Набор для контроля кровяного давления с одним преобразователем одинарный, артериальный </w:t>
            </w:r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Набор для измерения артериального давления с одноразовым преобразователем. Состав набора: Преобразователь артериального давления одноразовый: Встроенный под углом 45° трехходовой кран, полное предварительное тестирование; совместимость с любыми CF – мониторами (Преобразователь давления необходим для измерения давления. Встроенный под углом 45° трехходовой кран позволяет подсоединить </w:t>
            </w: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 xml:space="preserve">дополнительные устройства без риска смещения преобразователя давления, а также служит для обнуления давления в системе. Полное предварительное тестирование позволяет ускорить процесс установки набора. Совместимость с любыми мониторами делает набор универсальным); Рабочее напряжение в диапазоне 2 – 10 В. Диапазон измерений -50 – 300 мм рт. ст. Предельное давление </w:t>
            </w:r>
            <w:proofErr w:type="gram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6000  мм</w:t>
            </w:r>
            <w:proofErr w:type="gram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рт. ст. Рабочая температура в диапазоне +15° - +40°. Чувствительность 5,0 мкВ/В/мм рт. ст. Нелинейность и гистерезис -  1.5% от полного диапазона. Отклонение/Асимметрия максимальная 30 м рт. ст. Сдвиг температуры 0.1% / °С. Дрейф отклонения (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offset-drift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) 1 мм рт. ст. в течение 8 ч и 2 мм рт. ст. в течение 24 ч (значение параметра не требует конкретизации</w:t>
            </w:r>
            <w:proofErr w:type="gram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) .</w:t>
            </w:r>
            <w:proofErr w:type="gram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Полное входное сопротивление в диапазоне 1800 – 4500 Ом. Полное выходное сопротивление в диапазоне 270 – 330 Ом. Изолирующее сопротивление 1000 Мом. (Указанные технические особенности изделия являются необходимыми для точной передачи измерения давления в следствии переработки физического давления, оказываемого на одноразовый датчик в электрический сигнал, выводимый на монитор пациента). Прочие компоненты: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Инфузионная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система; магистрали высокого </w:t>
            </w: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давления c цветовой кодировкой (красный- артериальная) (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Инфузионная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система необходима для проведения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инфузии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. Магистрали высокого давления должны выдерживать нагнетаемое манжетой давление. Цветовая кодировка для идентификации доступа пациента); трехходовой кран (Трехходовой кран для регулирования направлений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инфузионных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потоков и взятия проб крови); промывное устройство с клапаном для быстрой промывки со скоростью 1 мл/сек и постоянной промывки системы со скоростью 3 мл/ч под давлением 300 мм рт. ст. (Промывное устройство с двумя режимами промывки необходимо для заполнения системы и предотвращения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тромбирования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катетера); встроенный кабель с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четырехконтактным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разъемом, совместимый с соединительным кабелем типа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Комбитранс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(Требование продиктовано необходимостью совместимости с кабелями)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шт</w:t>
            </w:r>
            <w:proofErr w:type="spellEnd"/>
          </w:p>
        </w:tc>
        <w:tc>
          <w:tcPr>
            <w:tcW w:w="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7842" w:rsidRPr="007A7842" w:rsidRDefault="007A7842" w:rsidP="007A7842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A7842" w:rsidRPr="007A7842" w:rsidTr="0002719E"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5A50E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Набор для катет</w:t>
            </w:r>
            <w:r w:rsidR="005A50E2">
              <w:rPr>
                <w:rFonts w:ascii="Times New Roman" w:hAnsi="Times New Roman" w:cs="Times New Roman"/>
                <w:color w:val="000000"/>
                <w:sz w:val="22"/>
              </w:rPr>
              <w:t>е</w:t>
            </w: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ризации центральных вен V1220 (12FR - 16G/18G/18G/18G/12G)</w:t>
            </w:r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Набор для катетеризации центральных вен по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Сельдингеру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с пятиканальным катетером и клапанной канюлей.</w:t>
            </w: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br/>
              <w:t xml:space="preserve">Назначение: катетеризация вен по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Сельдингеру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для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инфузии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и измерения ЦВД, экстренного диализа.</w:t>
            </w: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br/>
              <w:t xml:space="preserve">Материал катетера: термолабильный,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антитромбогенный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,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Rg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- контрастный полиуретан.</w:t>
            </w: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br/>
            </w: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 xml:space="preserve">Состав набора: Пятиканальный катетер с несмываемой разметкой в см, мягким скругленным кончиком и соединителем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Люэр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лок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, маркировкой каналов и зажимами. Наружный диаметр катетера 12F/4 мм (параметр не требует конкретизации), длина катетера 20 см, каналы дистальный 16G (поток 55 мл/мин), медиальный-1 18G (поток 28 мл/мин</w:t>
            </w:r>
            <w:proofErr w:type="gram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),  медиальный</w:t>
            </w:r>
            <w:proofErr w:type="gram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-2 18G (поток 28 мл/мин),  медиальный-3 18G (поток 28 мл/мин), проксимальный 12G (поток 185 мл/мин). Пункционная клапанная V-канюля тонкостенная, с овальным срезом 1,3 x 70 мм, профилированный прозрачный павильон,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Люэр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лок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, боковой порт с клапаном для проводника. Дилататор пластиковый, цельнолитой. Проводник из устойчивого к деформациям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нитинола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, 0,89мм х 50</w:t>
            </w:r>
            <w:proofErr w:type="gram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см,  маркированный</w:t>
            </w:r>
            <w:proofErr w:type="gram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, с J-образным кончиком, в круглом футляре с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направителем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и пальцевым упором. Неподвижные крылья с отверстиями, прозрачная удлинительная линия с коннектором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Люэр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лок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. Передвигаемые и фиксируемые крылышки с 2-мя отверстиями для фиксации лигатурой. Кабель для ЭКГ контроля постановки катетера. Шприц 3-х компонентный 5мл с коннектором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Люэр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лок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. Скальпель. Коннекторы для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безыгольного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соединения–5шт.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шт</w:t>
            </w:r>
            <w:proofErr w:type="spellEnd"/>
          </w:p>
        </w:tc>
        <w:tc>
          <w:tcPr>
            <w:tcW w:w="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7842" w:rsidRPr="007A7842" w:rsidRDefault="007A7842" w:rsidP="007A7842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A7842" w:rsidRPr="007A7842" w:rsidTr="0002719E"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5A50E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Устройство для измерения ЦВД</w:t>
            </w:r>
            <w:r w:rsidR="005A50E2">
              <w:rPr>
                <w:rFonts w:ascii="Times New Roman" w:hAnsi="Times New Roman" w:cs="Times New Roman"/>
                <w:color w:val="000000"/>
                <w:sz w:val="22"/>
              </w:rPr>
              <w:t xml:space="preserve">, </w:t>
            </w:r>
            <w:bookmarkStart w:id="0" w:name="_GoBack"/>
            <w:bookmarkEnd w:id="0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линия 100 см, без в/в системы</w:t>
            </w:r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Система для измерения центрального венозного давления инвазивным методом. Состав: </w:t>
            </w: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 xml:space="preserve">измерительная магистраль с антибактериальным воздушным фильтром и винтовым соединением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Луер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Лок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, трехходовой кран, без системы для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инфузии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. Длина измерительной системы – 100 см, соединения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Луер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Лок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шт</w:t>
            </w:r>
            <w:proofErr w:type="spellEnd"/>
          </w:p>
        </w:tc>
        <w:tc>
          <w:tcPr>
            <w:tcW w:w="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1010</w:t>
            </w:r>
          </w:p>
        </w:tc>
        <w:tc>
          <w:tcPr>
            <w:tcW w:w="1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7842" w:rsidRPr="007A7842" w:rsidRDefault="007A7842" w:rsidP="007A7842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A7842" w:rsidRPr="007A7842" w:rsidTr="0002719E"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5A50E2" w:rsidP="005A50E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Шкала для измерения ЦВД</w:t>
            </w:r>
            <w:r w:rsidR="007A7842"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инвазивным методом</w:t>
            </w:r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Шкала для измерения центрального венозного давления инвазивным методом. Для многократного применения. Технические характеристики: Ударопрочная пластмасса. Градуировка от +35 до -15 см H2O (С покрытием всего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диапозона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). Двухсторонний нулевой указатель. Два универсальных фиксатора.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7842" w:rsidRPr="007A7842" w:rsidRDefault="007A7842" w:rsidP="007A7842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02719E">
        <w:trPr>
          <w:trHeight w:val="375"/>
        </w:trPr>
        <w:tc>
          <w:tcPr>
            <w:tcW w:w="549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52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0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Pr="007A7842" w:rsidRDefault="0034572B" w:rsidP="00D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842">
              <w:rPr>
                <w:rFonts w:ascii="Times New Roman" w:hAnsi="Times New Roman" w:cs="Times New Roman"/>
                <w:sz w:val="28"/>
                <w:szCs w:val="28"/>
              </w:rPr>
              <w:t xml:space="preserve">Срок поставки: с момента заключения </w:t>
            </w:r>
            <w:proofErr w:type="gramStart"/>
            <w:r w:rsidRPr="007A7842">
              <w:rPr>
                <w:rFonts w:ascii="Times New Roman" w:hAnsi="Times New Roman" w:cs="Times New Roman"/>
                <w:sz w:val="28"/>
                <w:szCs w:val="28"/>
              </w:rPr>
              <w:t>контракта</w:t>
            </w:r>
            <w:proofErr w:type="gramEnd"/>
            <w:r w:rsidR="00D242D7" w:rsidRPr="007A7842">
              <w:rPr>
                <w:rFonts w:ascii="Times New Roman" w:hAnsi="Times New Roman" w:cs="Times New Roman"/>
                <w:sz w:val="28"/>
                <w:szCs w:val="28"/>
              </w:rPr>
              <w:t xml:space="preserve"> но не позднее 15.11.2021 г., по Заявке Заказчика</w:t>
            </w:r>
            <w:r w:rsidRPr="007A78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6E3B" w:rsidRPr="007A7842" w:rsidTr="0002719E">
        <w:trPr>
          <w:trHeight w:val="120"/>
        </w:trPr>
        <w:tc>
          <w:tcPr>
            <w:tcW w:w="549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52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0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Pr="007A7842" w:rsidRDefault="0034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42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A7842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A7842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 w:rsidRPr="007A7842">
              <w:rPr>
                <w:rFonts w:ascii="Times New Roman" w:hAnsi="Times New Roman" w:cs="Times New Roman"/>
                <w:sz w:val="28"/>
                <w:szCs w:val="28"/>
              </w:rPr>
              <w:t>г.Красноярск</w:t>
            </w:r>
            <w:proofErr w:type="spellEnd"/>
            <w:r w:rsidRPr="007A7842">
              <w:rPr>
                <w:rFonts w:ascii="Times New Roman" w:hAnsi="Times New Roman" w:cs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06E3B" w:rsidRPr="007A7842" w:rsidTr="0002719E">
        <w:trPr>
          <w:trHeight w:val="120"/>
        </w:trPr>
        <w:tc>
          <w:tcPr>
            <w:tcW w:w="549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Pr="007A7842" w:rsidRDefault="0034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4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A7842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A7842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06E3B" w:rsidRPr="007A7842" w:rsidTr="0002719E">
        <w:trPr>
          <w:trHeight w:val="165"/>
        </w:trPr>
        <w:tc>
          <w:tcPr>
            <w:tcW w:w="549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52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0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Pr="007A7842" w:rsidRDefault="0034572B" w:rsidP="001C3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842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принимаются в срок до </w:t>
            </w:r>
            <w:r w:rsidR="001C3C77" w:rsidRPr="007A7842">
              <w:rPr>
                <w:rFonts w:ascii="Times New Roman" w:hAnsi="Times New Roman" w:cs="Times New Roman"/>
                <w:sz w:val="28"/>
                <w:szCs w:val="28"/>
              </w:rPr>
              <w:t>22.01.2021 г.</w:t>
            </w:r>
            <w:r w:rsidRPr="007A7842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306E3B" w:rsidRPr="007A7842" w:rsidTr="0002719E">
        <w:trPr>
          <w:trHeight w:val="60"/>
        </w:trPr>
        <w:tc>
          <w:tcPr>
            <w:tcW w:w="549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52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0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Pr="007A7842" w:rsidRDefault="00345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842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06E3B" w:rsidRPr="007A7842" w:rsidTr="0002719E">
        <w:trPr>
          <w:trHeight w:val="60"/>
        </w:trPr>
        <w:tc>
          <w:tcPr>
            <w:tcW w:w="549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52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0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02719E">
        <w:trPr>
          <w:trHeight w:val="60"/>
        </w:trPr>
        <w:tc>
          <w:tcPr>
            <w:tcW w:w="549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52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0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02719E">
        <w:trPr>
          <w:trHeight w:val="60"/>
        </w:trPr>
        <w:tc>
          <w:tcPr>
            <w:tcW w:w="549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52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0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Pr="007A7842" w:rsidRDefault="00345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842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</w:tr>
      <w:tr w:rsidR="00306E3B" w:rsidRPr="007A7842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Pr="007A7842" w:rsidRDefault="00345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842">
              <w:rPr>
                <w:rFonts w:ascii="Times New Roman" w:hAnsi="Times New Roman" w:cs="Times New Roman"/>
                <w:sz w:val="28"/>
                <w:szCs w:val="28"/>
              </w:rPr>
              <w:t>, тел.</w:t>
            </w:r>
          </w:p>
        </w:tc>
      </w:tr>
    </w:tbl>
    <w:p w:rsidR="000845F7" w:rsidRPr="007A7842" w:rsidRDefault="000845F7">
      <w:pPr>
        <w:rPr>
          <w:rFonts w:ascii="Times New Roman" w:hAnsi="Times New Roman" w:cs="Times New Roman"/>
        </w:rPr>
      </w:pPr>
    </w:p>
    <w:sectPr w:rsidR="000845F7" w:rsidRPr="007A784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3B"/>
    <w:rsid w:val="0002719E"/>
    <w:rsid w:val="000845F7"/>
    <w:rsid w:val="001C3C77"/>
    <w:rsid w:val="00290593"/>
    <w:rsid w:val="002B6913"/>
    <w:rsid w:val="00306E3B"/>
    <w:rsid w:val="0034572B"/>
    <w:rsid w:val="005A50E2"/>
    <w:rsid w:val="007A7842"/>
    <w:rsid w:val="007B0E44"/>
    <w:rsid w:val="00B93B85"/>
    <w:rsid w:val="00BE6219"/>
    <w:rsid w:val="00D242D7"/>
    <w:rsid w:val="00E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74044-BDCF-4E12-B39A-0D2C9586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2021-01-20T07:12:00Z</dcterms:created>
  <dcterms:modified xsi:type="dcterms:W3CDTF">2021-01-20T07:15:00Z</dcterms:modified>
</cp:coreProperties>
</file>