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RPr="000C74E9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Pr="000C74E9" w:rsidRDefault="000C74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74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74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74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74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74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74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514BD7" w:rsidRPr="000C74E9" w:rsidRDefault="00514B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Pr="000C74E9" w:rsidRDefault="00514B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Pr="000C74E9" w:rsidRDefault="00514B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Pr="000C74E9" w:rsidRDefault="00514B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Pr="000C74E9" w:rsidRDefault="00514BD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Pr="000C74E9" w:rsidRDefault="00514BD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Pr="000C74E9" w:rsidRDefault="00514BD7">
            <w:pPr>
              <w:rPr>
                <w:szCs w:val="16"/>
                <w:lang w:val="en-US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 2 022 г. №.617-2022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14BD7" w:rsidRDefault="000C74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14BD7" w:rsidRDefault="000C7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СинтACил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времени (АЧТВ). Реагент характеризуется высокой чувствительностью к присутствию в плазме гепарина и дефициту факторов внутреннего пути свертывания. Не высокая чувствительность к присутствию ВА в плазме позволяет использовать реагент для первичного скрининг</w:t>
            </w:r>
            <w:r>
              <w:rPr>
                <w:rFonts w:ascii="Times New Roman" w:hAnsi="Times New Roman"/>
                <w:sz w:val="24"/>
                <w:szCs w:val="24"/>
              </w:rPr>
              <w:t>а. Форма выпуска: жидкая, готовая к применению. Методы определения: нефелометрия или турбидиметрия.5флаконов по 10мл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4BD7" w:rsidRDefault="000C7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4BD7" w:rsidRDefault="0051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14BD7" w:rsidRDefault="0051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14BD7" w:rsidRDefault="000C74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</w:t>
            </w: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14BD7" w:rsidRDefault="000C7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14BD7" w:rsidRDefault="000C7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14BD7" w:rsidRDefault="000C74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20.04.2022 17:00:00 по местному времени. </w:t>
            </w: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14BD7" w:rsidRDefault="000C74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14BD7" w:rsidRDefault="00514BD7">
            <w:pPr>
              <w:rPr>
                <w:szCs w:val="16"/>
              </w:rPr>
            </w:pP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14BD7" w:rsidRDefault="000C74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4BD7" w:rsidTr="000C74E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14BD7" w:rsidRDefault="000C74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0C74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BD7"/>
    <w:rsid w:val="000C74E9"/>
    <w:rsid w:val="0051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EB637-2696-4FB8-9F8A-1F15FE7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2022-04-18T04:37:00Z</dcterms:created>
  <dcterms:modified xsi:type="dcterms:W3CDTF">2022-04-18T04:38:00Z</dcterms:modified>
</cp:coreProperties>
</file>