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1750"/>
        <w:gridCol w:w="3045"/>
        <w:gridCol w:w="655"/>
        <w:gridCol w:w="705"/>
        <w:gridCol w:w="939"/>
        <w:gridCol w:w="1826"/>
        <w:gridCol w:w="1524"/>
      </w:tblGrid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RPr="0024783C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Pr="0024783C" w:rsidRDefault="002478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7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5" w:type="dxa"/>
            <w:shd w:val="clear" w:color="FFFFFF" w:fill="auto"/>
            <w:vAlign w:val="bottom"/>
          </w:tcPr>
          <w:p w:rsidR="008876EA" w:rsidRPr="0024783C" w:rsidRDefault="008876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Pr="0024783C" w:rsidRDefault="008876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Pr="0024783C" w:rsidRDefault="008876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Pr="0024783C" w:rsidRDefault="008876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Pr="0024783C" w:rsidRDefault="008876EA">
            <w:pPr>
              <w:rPr>
                <w:szCs w:val="16"/>
                <w:lang w:val="en-US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 w:rsidP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№.56-2021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0" w:type="dxa"/>
            <w:gridSpan w:val="3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65" w:type="dxa"/>
            <w:gridSpan w:val="7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876EA" w:rsidRDefault="0024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76EA" w:rsidRDefault="00247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маркеров </w:t>
            </w:r>
            <w:r>
              <w:rPr>
                <w:rFonts w:ascii="Times New Roman" w:hAnsi="Times New Roman"/>
                <w:sz w:val="24"/>
                <w:szCs w:val="24"/>
              </w:rPr>
              <w:t>к инфекционным заболеваниям</w:t>
            </w:r>
          </w:p>
        </w:tc>
        <w:tc>
          <w:tcPr>
            <w:tcW w:w="3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крови, сыворотке или плазме на одной плашке. Принцип метода: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анализ, путем взаимодействия с поверхностным антигеном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</w:t>
            </w:r>
            <w:r>
              <w:rPr>
                <w:rFonts w:ascii="Times New Roman" w:hAnsi="Times New Roman"/>
                <w:sz w:val="24"/>
                <w:szCs w:val="24"/>
              </w:rPr>
              <w:t>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тестовой зоне мембраны. Объем цельной крови, сыворотки или плазмы, не более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один тест. Чувствительность теста, не менее - 99,95% Специфичность теста, не менее - 99,9 %. Состав набора: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стовая кассета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выполнения теста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бесприборный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тест, визуальная интерпретация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. 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диапазоне от +2 до +30 С. Срок годности не менее - 24 месяца. Регистрационное удостовер</w:t>
            </w:r>
            <w:r>
              <w:rPr>
                <w:rFonts w:ascii="Times New Roman" w:hAnsi="Times New Roman"/>
                <w:sz w:val="24"/>
                <w:szCs w:val="24"/>
              </w:rPr>
              <w:t>ение - наличие. Количество в упаковке – не менее 10шт.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</w:t>
            </w:r>
            <w:r>
              <w:rPr>
                <w:rFonts w:ascii="Times New Roman" w:hAnsi="Times New Roman"/>
                <w:sz w:val="24"/>
                <w:szCs w:val="24"/>
              </w:rPr>
              <w:t>Пробирка с буферным раствором -1 шт. - Ланцет-1 шт. - Спиртовая салфетка- 2шт.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</w:t>
            </w:r>
            <w:r>
              <w:rPr>
                <w:rFonts w:ascii="Times New Roman" w:hAnsi="Times New Roman"/>
                <w:sz w:val="24"/>
                <w:szCs w:val="24"/>
              </w:rPr>
              <w:t>жна быть нарушена.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буферным раствором -1 шт.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Ланцет-1 шт. - Спиртовая салфетка – 2шт. Условия хранения: Набор следует хранить при температуре +2+28С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до истечения срока годности, указанного на упаковке. НЕ ЗАМОРАЖИВАТЬ! Герметичность упаковки не должна быть нарушена.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</w:t>
            </w:r>
            <w:r>
              <w:rPr>
                <w:rFonts w:ascii="Times New Roman" w:hAnsi="Times New Roman"/>
                <w:sz w:val="24"/>
                <w:szCs w:val="24"/>
              </w:rPr>
              <w:t>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маркеров к </w:t>
            </w:r>
            <w:r>
              <w:rPr>
                <w:rFonts w:ascii="Times New Roman" w:hAnsi="Times New Roman"/>
                <w:sz w:val="24"/>
                <w:szCs w:val="24"/>
              </w:rPr>
              <w:t>инфекционным заболеваниям</w:t>
            </w:r>
          </w:p>
        </w:tc>
        <w:tc>
          <w:tcPr>
            <w:tcW w:w="3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– 2шт. Условия хранения: Набор следует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24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76EA" w:rsidRDefault="008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876EA" w:rsidRDefault="0024783C" w:rsidP="002478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876EA" w:rsidRDefault="002478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876EA" w:rsidRDefault="002478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876EA" w:rsidRDefault="0024783C" w:rsidP="002478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876EA" w:rsidRDefault="002478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750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304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939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8876EA" w:rsidRDefault="008876EA">
            <w:pPr>
              <w:rPr>
                <w:szCs w:val="16"/>
              </w:rPr>
            </w:pP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876EA" w:rsidRDefault="002478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76EA" w:rsidTr="002478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876EA" w:rsidRDefault="002478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2478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6EA"/>
    <w:rsid w:val="0024783C"/>
    <w:rsid w:val="008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C01D5-DEFF-4B05-A0CB-319895B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2021-01-20T06:02:00Z</dcterms:created>
  <dcterms:modified xsi:type="dcterms:W3CDTF">2021-01-20T06:04:00Z</dcterms:modified>
</cp:coreProperties>
</file>