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7"/>
        <w:gridCol w:w="1836"/>
        <w:gridCol w:w="3414"/>
        <w:gridCol w:w="738"/>
        <w:gridCol w:w="617"/>
        <w:gridCol w:w="828"/>
        <w:gridCol w:w="1650"/>
        <w:gridCol w:w="1343"/>
      </w:tblGrid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56" w:type="dxa"/>
            <w:gridSpan w:val="2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 w:rsidRPr="00BE0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Pr="00BE0C3A" w:rsidRDefault="00BE0C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BE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BE0C3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BE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BE0C3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BE0C3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BE0C3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szCs w:val="16"/>
                <w:lang w:val="en-US"/>
              </w:rPr>
            </w:pPr>
          </w:p>
        </w:tc>
      </w:tr>
      <w:tr w:rsidR="00632E2D" w:rsidRPr="00BE0C3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Pr="00BE0C3A" w:rsidRDefault="00BE0C3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BE0C3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Pr="00BE0C3A" w:rsidRDefault="00632E2D">
            <w:pPr>
              <w:rPr>
                <w:szCs w:val="16"/>
                <w:lang w:val="en-US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 w:rsidP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23.07.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019 г. №.551-19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799" w:type="dxa"/>
            <w:gridSpan w:val="3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2758" w:type="dxa"/>
            <w:gridSpan w:val="7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2E2D" w:rsidRDefault="00BE0C3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632E2D" w:rsidRDefault="00BE0C3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реагентов для определения фибриногена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реагенов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определения фибриногена по методу Клауса. Состав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набораТромбин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определения фибриногена лиофильно высушенный (2,0 мл) – 8 флаконов; Буфер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имидазоловый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концентрированный (5,0 мл) –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флакон.Плазма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-калибратор лиофильно высушенная (1,0 мл) – 1 флакон;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</w:t>
            </w:r>
            <w:r>
              <w:rPr>
                <w:rFonts w:ascii="Times New Roman" w:hAnsi="Times New Roman"/>
                <w:sz w:val="24"/>
                <w:szCs w:val="24"/>
              </w:rPr>
              <w:t>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для определения РФМК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РФМК- тест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фенантролино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-вый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тест )флаконный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вариант. Состав набора: 1-орто-фенантролина гидрохлорид. 70мг-2фл.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2-контроль-минус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не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3-контроль-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плюс  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лиофилизированная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плазма крови человека, содержащая РФМК), на 1 мл-1фл.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Скрининговый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Реагент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антикоагулянтов. В состав набора входит реагент содержащий яд гадюки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менее 200 тес</w:t>
            </w:r>
            <w:r>
              <w:rPr>
                <w:rFonts w:ascii="Times New Roman" w:hAnsi="Times New Roman"/>
                <w:sz w:val="24"/>
                <w:szCs w:val="24"/>
              </w:rPr>
              <w:t>тов.10*2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LA2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Подтверждающий  Реагент</w:t>
            </w:r>
            <w:proofErr w:type="gramEnd"/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проведения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подтверждающего теста времени разбавленного яда гадюки Рассела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dRVVT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тест) для определения волчаночных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антикоагулянтов.В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состав набора входит реагент содержащий яд гадюки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Рассела,фолфолипиды,антагонист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гепарина,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кальйций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буфер,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стабилизатор,натрия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азид,краситель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Стабильность реагента после вскрытия при t+2+8 не менее 48 часов. В упаковке не менее 100 тестов. 10*1 мл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-тест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резистентности к протеину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клоттинговым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методом. В состав набора входят: реагент содержащий частицы диоксида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кремний,фосфолипиды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офощей,натрия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хлорид; реагент содержащий экстракт яда Медноголового щитомордника,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гексадиметрина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бромид (антагонист гепарина).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Стабильность реагентов после вскрытия при t+2+8 C не менее 2 недель. набор:4х2 мл Активатор реагент, 4х5 мл АРТТ реагент для Про-с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Глобал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4х2 мл буфер. В упаковке не менее 160 тестов.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5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активности свертывания фактора V в плазме крови/Содержит плазму крови человеческую,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флакон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субстратная дефицитная по II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Реагент для определения активности свертывания фактора II в плазме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крови/Содержит плазму крови человеческую,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дефицитарную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флакон не менее 1 мл.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3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332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Плазма дефицитная по XI фактору</w:t>
            </w:r>
          </w:p>
        </w:tc>
        <w:tc>
          <w:tcPr>
            <w:tcW w:w="111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флакон</w:t>
            </w:r>
          </w:p>
        </w:tc>
        <w:tc>
          <w:tcPr>
            <w:tcW w:w="128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BE0C3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7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632E2D" w:rsidRDefault="00632E2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2E2D" w:rsidRDefault="00BE0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Срок поставки: согласно графику поставки 2020г.</w:t>
            </w: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2E2D" w:rsidRDefault="00BE0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2E2D" w:rsidRDefault="00BE0C3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</w:t>
            </w:r>
            <w:r>
              <w:rPr>
                <w:rFonts w:ascii="Times New Roman" w:hAnsi="Times New Roman"/>
                <w:sz w:val="28"/>
                <w:szCs w:val="28"/>
              </w:rPr>
              <w:t>Партизана Железняка 3-б, отдел обеспечения государственных закупок, тел. 220-16-04</w:t>
            </w: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2E2D" w:rsidRDefault="00BE0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Предложения принимаются в срок до 26.07.2019 17:00:00 по местному времени.</w:t>
            </w: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2E2D" w:rsidRDefault="00BE0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45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53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3321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11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286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470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2087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  <w:tc>
          <w:tcPr>
            <w:tcW w:w="1903" w:type="dxa"/>
            <w:shd w:val="clear" w:color="FFFFFF" w:fill="auto"/>
            <w:vAlign w:val="bottom"/>
          </w:tcPr>
          <w:p w:rsidR="00632E2D" w:rsidRDefault="00632E2D">
            <w:pPr>
              <w:rPr>
                <w:szCs w:val="16"/>
              </w:rPr>
            </w:pP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2E2D" w:rsidRDefault="00BE0C3A" w:rsidP="00BE0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 Антипова Елена Валерьевна</w:t>
            </w:r>
          </w:p>
        </w:tc>
      </w:tr>
      <w:tr w:rsidR="00632E2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4661" w:type="dxa"/>
            <w:gridSpan w:val="8"/>
            <w:shd w:val="clear" w:color="FFFFFF" w:fill="auto"/>
            <w:vAlign w:val="bottom"/>
          </w:tcPr>
          <w:p w:rsidR="00632E2D" w:rsidRDefault="00BE0C3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тел.220-16-04</w:t>
            </w:r>
          </w:p>
        </w:tc>
      </w:tr>
    </w:tbl>
    <w:p w:rsidR="00000000" w:rsidRDefault="00BE0C3A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32E2D"/>
    <w:rsid w:val="00632E2D"/>
    <w:rsid w:val="00BE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BDCAF0C-6D87-4851-896F-7126F5623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573</Words>
  <Characters>3269</Characters>
  <Application>Microsoft Office Word</Application>
  <DocSecurity>0</DocSecurity>
  <Lines>27</Lines>
  <Paragraphs>7</Paragraphs>
  <ScaleCrop>false</ScaleCrop>
  <Company/>
  <LinksUpToDate>false</LinksUpToDate>
  <CharactersWithSpaces>3835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Антипова Елена Валерьевна</cp:lastModifiedBy>
  <cp:revision>2</cp:revision>
  <dcterms:created xsi:type="dcterms:W3CDTF">2019-07-23T02:07:00Z</dcterms:created>
  <dcterms:modified xsi:type="dcterms:W3CDTF">2019-07-23T02:07:00Z</dcterms:modified>
</cp:coreProperties>
</file>