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223"/>
        <w:gridCol w:w="2806"/>
        <w:gridCol w:w="643"/>
        <w:gridCol w:w="739"/>
        <w:gridCol w:w="830"/>
        <w:gridCol w:w="1722"/>
        <w:gridCol w:w="1415"/>
      </w:tblGrid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RPr="007D3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RPr="007D3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 w:rsidP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08.06. 2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020 г. №.540-2020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распылителем ингаляционных растворов, Т-образным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коннектором d 22 мм, кислородной трубкой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Аэрозольный комплект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Т-образным коннектором, с кислородным шлангом для дыхательного контура c диаметром 22 мм. Описание и состав: высококачественный (при потоке газовой смеси 8 л/мин должен достави</w:t>
            </w:r>
            <w:r>
              <w:rPr>
                <w:rFonts w:ascii="Times New Roman" w:hAnsi="Times New Roman"/>
                <w:sz w:val="24"/>
                <w:szCs w:val="24"/>
              </w:rPr>
              <w:t>т не менее 2 мл раствора за 10 мин., и диаметр 76% частиц раствора составит менее 5 микрон, с целью обеспечения трахеобронхиального осаждения) распылитель для трахеобронхиальной доставки лекарственных препаратов со стандартным плоским основанием, обеспечив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ающим устойчивость при заполнении; распылитель оснащен: 22 мм охватывающим фитингом для присоединения к стандартным аэрозольным маскам, 6-мм вентилем для подключения к кислородному шлангу; распылитель работает как в вертикальном, так и в горизонтальном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ожении, что дает возможность применять его в составе дыхательного контура; распылитель оснащен емкостью объемом 5 мл для предотвращения выливания раствора; распылитель соответствует требованиям, предъявляемым к конусным соединениям стандартов BS EN-1281-1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международным стандартом 5356.1, что исключает риск случайного разъединения в составе дыхательного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 кислородная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трубка со стандартным коннектором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длиной 1,8 м, стойкая к перегибани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ю; тройник прозрачный 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22М-22F-22M. Материал: полипропилен, полиэтилен, эластомер. Не содержит латекса, клинически чисто, в индивидуальной упаковке, однократного применения. Срок годности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Фракционатор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селективного высокообъемного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плазмафереза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сердце,лечение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винилового спирта. Размер пор мембраны - 0,01 мкм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Соединитель к контуру дыхательному, угловой конфигурируемый, двойной шарнир, двойная заглушка 22M/15F-22 F. Заглушка 9 мм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оптической бронхоскопии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 рт. ст.,pO2      0 – 760 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взрослая с прямой назальной частью и кислородной трубкой 210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Носовая канюля взрослая с прямой назальной частью и кислородной трубкой 210 см с несминаемым просветом и универсальным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Скорость потока 1-7 л/мин. Без </w:t>
            </w:r>
            <w:r>
              <w:rPr>
                <w:rFonts w:ascii="Times New Roman" w:hAnsi="Times New Roman"/>
                <w:sz w:val="24"/>
                <w:szCs w:val="24"/>
              </w:rPr>
              <w:t>латекса. Чистая упаковка.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 при операциях на сердце, сепсисе различной этиологии,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септическом шоке, ОРДС. Система на основе полимеров для адсорбции цитокинов молекулярной массы 8-55кДа, стерильная, однократного применения,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постоянной заместительной почечной терапии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постоянной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заместительной почечной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CVVHD EMiC2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при скорости потока крови 100 мл/мин и скорости потока диализата 30 мл/мин,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Мочевина -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Витамин В12 - Не мене</w:t>
            </w:r>
            <w:r>
              <w:rPr>
                <w:rFonts w:ascii="Times New Roman" w:hAnsi="Times New Roman"/>
                <w:sz w:val="24"/>
                <w:szCs w:val="24"/>
              </w:rPr>
              <w:t>е 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менее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при скорости потока крови 125 мл/мин и скорости потока диализата 125 мл/мин,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Мочевина - Не менее 105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Витамин В12 - Не менее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просеивания: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</w:t>
            </w:r>
            <w:r>
              <w:rPr>
                <w:rFonts w:ascii="Times New Roman" w:hAnsi="Times New Roman"/>
                <w:sz w:val="24"/>
                <w:szCs w:val="24"/>
              </w:rPr>
              <w:t>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Миоглобин - Не менее 0,8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Альбумин - Не более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Β2 - микроглобулин - не менее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Эффективная площадь поверхности мембраны - 1,8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потока крови - 100-350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 стенки капилляра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Внутренний диаметр капилляра - 220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Объем за</w:t>
            </w:r>
            <w:r>
              <w:rPr>
                <w:rFonts w:ascii="Times New Roman" w:hAnsi="Times New Roman"/>
                <w:sz w:val="24"/>
                <w:szCs w:val="24"/>
              </w:rPr>
              <w:t>полнения - не более 130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фильтрации - 10 % от эффективного потока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Стерилизация - Паровая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Система магистралей,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- 170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</w:t>
            </w:r>
            <w:r>
              <w:rPr>
                <w:rFonts w:ascii="Times New Roman" w:hAnsi="Times New Roman"/>
                <w:sz w:val="24"/>
                <w:szCs w:val="24"/>
              </w:rPr>
              <w:t>истраль артериальная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Артериальная ловушка 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артериальной ловушки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Магистраль венозная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Насосный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 фиксации насосного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гмента, «красный»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Магистраль венозная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Венозная  ловушка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венозной ловушки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Мешок дренажный - 2000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Насосный сегмент - 1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для  фиксации насосного сегмента, «желтый»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Магистраль диализата,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- 1</w:t>
            </w:r>
            <w:r>
              <w:rPr>
                <w:rFonts w:ascii="Times New Roman" w:hAnsi="Times New Roman"/>
                <w:sz w:val="24"/>
                <w:szCs w:val="24"/>
              </w:rPr>
              <w:t>58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Насосный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для  фиксации насосного сегмента, «зеленый»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HF- коннектор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Камера подогрева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- ЭТО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- 158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ЭКГ, </w:t>
            </w:r>
            <w:r>
              <w:rPr>
                <w:rFonts w:ascii="Times New Roman" w:hAnsi="Times New Roman"/>
                <w:sz w:val="24"/>
                <w:szCs w:val="24"/>
              </w:rPr>
              <w:t>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50±2 мм в 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алов электродов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паразитарных шумах до 23 мВ. Сверхсильная клеевая основа –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</w:t>
            </w:r>
            <w:r>
              <w:rPr>
                <w:rFonts w:ascii="Times New Roman" w:hAnsi="Times New Roman"/>
                <w:sz w:val="24"/>
                <w:szCs w:val="24"/>
              </w:rPr>
              <w:t>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14,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 градуирован, шаг градуировки - 1 см. Д</w:t>
            </w:r>
            <w:r>
              <w:rPr>
                <w:rFonts w:ascii="Times New Roman" w:hAnsi="Times New Roman"/>
                <w:sz w:val="24"/>
                <w:szCs w:val="24"/>
              </w:rPr>
              <w:t>оступ аспирационного катетера в промывочную камеру регулируется специальной ручкой, показывающей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</w:t>
            </w:r>
            <w:r>
              <w:rPr>
                <w:rFonts w:ascii="Times New Roman" w:hAnsi="Times New Roman"/>
                <w:sz w:val="24"/>
                <w:szCs w:val="24"/>
              </w:rPr>
              <w:t>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</w:t>
            </w:r>
            <w:r>
              <w:rPr>
                <w:rFonts w:ascii="Times New Roman" w:hAnsi="Times New Roman"/>
                <w:sz w:val="24"/>
                <w:szCs w:val="24"/>
              </w:rPr>
              <w:t>ым гидрофобным фильтром.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плазмосепарации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заполнения 275 мл, насосный сегмент 1шт., диаметр насосного сегмента 6,4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фиксации насосного сегмента "белый" 1шт., камера подогрева 2шт., пластиковая игла 4шт.,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диализирующий 5000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системой магистралей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Двухкамерный мешок объемом - 5000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K2 -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- 0.75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- 109.7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Гидрокарбонат HCO3 - 35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Глюкоза - 1.0 г/л; P (Фосфат) - 1.0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"МАКИНТОШ",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рассеиванием светового потока не более 5%. Круглое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использованием ЛЕД-рукояти – 16 000 люкс. Материал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холодной стерилизации. Высота клинка 25 мм. Длина клинка 155 мм. Предназначен для одноразового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самоклеющаяся, впитывающая гидроколлоидная повязка,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покрытая полупроницаемым слоем, для предотвращения проникновения бактерий. Формируется по контуру тела, удаляется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безболезненно. Гидроколлоидная структура, состоящая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не содержит компоненты животного происхождения. Впитывающая способность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Индивидуальная упаковка каждой повязки. Размер 10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кислорода пузырьковый,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объем 350 мл. Используется для увлажнения кислорода </w:t>
            </w:r>
            <w:r>
              <w:rPr>
                <w:rFonts w:ascii="Times New Roman" w:hAnsi="Times New Roman"/>
                <w:sz w:val="24"/>
                <w:szCs w:val="24"/>
              </w:rPr>
              <w:t>в клинических условиях. Тонкодисперсный распылитель производит большое количество газовых пузырьков малого объема на конце впускной трубки. Таким образом, увеличивается общая поверхность испарения, и повышается влажность проходящего газа. В то же время, ма</w:t>
            </w:r>
            <w:r>
              <w:rPr>
                <w:rFonts w:ascii="Times New Roman" w:hAnsi="Times New Roman"/>
                <w:sz w:val="24"/>
                <w:szCs w:val="24"/>
              </w:rPr>
              <w:t>ленькие пузырьки создают меньше шума в отличие от больших, что обеспечивает пациенту комфортную атмосферу. Имеется маркировка минимального и максимального уровня заполнения увлажнителя. Коннектор UNF 9/16”.  Однократного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гидроколлоидного матрикса с клейкой каймой 10 х 13 см крестец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Cтерильное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адгезивное трехкомпонентное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гидроколлоидное раневое покрытие на основе полиизобутиленового матрикса с включением трех типов гидроколлоидных частиц: 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натриевая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2) пектин, 3) желатин для обеспечения трехфазовой динамичной контролируемой абсорбции экссудата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гелеобразования, обеспечивающего влажную среду под покрытием для наилучшего роста грануляций. Три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</w:t>
            </w:r>
            <w:r>
              <w:rPr>
                <w:rFonts w:ascii="Times New Roman" w:hAnsi="Times New Roman"/>
                <w:sz w:val="24"/>
                <w:szCs w:val="24"/>
              </w:rPr>
              <w:t>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образуют гель желтоватого цвета при контакте с влажной раневой поверхностью.  Наружный водонепроницаемый пенополиуретановый слой для защиты от вирусов, в том числе ВИЧ, гепатита В и бактерий. Обладает термоизоляционными свойствами,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уменьшает  боль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 наложения, создает 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 оптимальную температуру от 32,7 до 35,2 °С (диапазонное значение согласно инструкции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под раневым покрытием.  Повязка выпускается с клейкой каймо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не требует дополнительной фиксации. Толщина повязки в центре - 2,27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повязки по краям -  1,50 мм. 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гидроколлоидного слоя. Применяется как первичная повязка, так и в качестве вторичной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другими материалами, требующим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ися для перевязки ран.  Показания: Затяжные раны - кожные изъязвления, пролежни (I-IV степень), изъязвления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Острые раны - поверхностные раны (небольшие ссадины), ожоги второй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степени,места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взятия материалов для пересадки. Одна повязка накладываетс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на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дней. Выпускается в стерильном блистере, прозрачном с одной стороны с мерной линейкой в см. (и в дюймах) для подбора по размерам раневого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дефекта,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блистеров в упаковке. Размер 10 х 13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 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</w:t>
            </w:r>
            <w:r>
              <w:rPr>
                <w:rFonts w:ascii="Times New Roman" w:hAnsi="Times New Roman"/>
                <w:sz w:val="24"/>
                <w:szCs w:val="24"/>
              </w:rPr>
              <w:t>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нормальными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</w:t>
            </w:r>
            <w:r>
              <w:rPr>
                <w:rFonts w:ascii="Times New Roman" w:hAnsi="Times New Roman"/>
                <w:sz w:val="24"/>
                <w:szCs w:val="24"/>
              </w:rPr>
              <w:t>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с тепловой записью для ЭКГ 80 мм х 20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регистрационная бумажная с тепловой </w:t>
            </w:r>
            <w:r>
              <w:rPr>
                <w:rFonts w:ascii="Times New Roman" w:hAnsi="Times New Roman"/>
                <w:sz w:val="24"/>
                <w:szCs w:val="24"/>
              </w:rPr>
              <w:t>записью в рулонах шириной 80 мм, длина 20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прямой,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 Скорость кровотока 300-400 мл/мин при венозном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прямой. Стерилен в течение 3-х лет. Состав набора: Катетер – 1 шт., Пункционная игла – 1 шт., Проводни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</w:t>
            </w:r>
            <w:r>
              <w:rPr>
                <w:rFonts w:ascii="Times New Roman" w:hAnsi="Times New Roman"/>
                <w:sz w:val="24"/>
                <w:szCs w:val="24"/>
              </w:rPr>
              <w:t>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пенистого полиуретана и нейлона. Анатомическая форма маски повторяет контур лица пациента за счет мягкого пластичного материала из силикона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внутренних силиконовых губок для предотвращения утечки в контуре. Рабочее давление: 0-40 см Н20</w:t>
            </w:r>
            <w:r>
              <w:rPr>
                <w:rFonts w:ascii="Times New Roman" w:hAnsi="Times New Roman"/>
                <w:sz w:val="24"/>
                <w:szCs w:val="24"/>
              </w:rPr>
              <w:t>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высота 140 мм,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105 мм, профиль 113 мм. Объем мертвого пространства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форма маски повторяет контур лица пациента за счет мягкого пластичного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из силикона 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бодного вращения 360 градусов. Наголовник с четырьмя клипсами крепления к маске для легкости снятия маски и с системой регулирования по длине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форма маски повторяет контур лица пациента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/>
                <w:sz w:val="24"/>
                <w:szCs w:val="24"/>
              </w:rPr>
              <w:t>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для волюметрического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ФМС). Состав: Пункционные наконечник,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вентиляционный канал с антибактериальным фильтром с заглушкой, выделенный капельник объемом 20 капель = 1 мл, прозрачная верхняя часть капельной камеры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часть, интегрированный фильтр 15 мкм, прозрачная трубка длиной 855 см с 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роликовым зажимом оранжевого цвета, силиконовый сегмент длиной 10 см с двумя фиксаторами для перистальтического сегмента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ФМС), прозрачная трубка длиной 145 см с интегрированным винтовым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Люэрлок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Цветовая кодиро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роликового зажима- оранжевый цвет. Резистентность к давлению в системе - 2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/>
                <w:sz w:val="24"/>
                <w:szCs w:val="24"/>
              </w:rPr>
              <w:t>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подача кислорода средней концентрации. Состав: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Анатомическая  прозрачная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маска для взрослых, обеспечивающая оптимальную герметичность,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смесеобразующее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симметричное отверстие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мягкий обод, эластичный  поддерживающий шнур,  кислородный штуцер  6 мм, боковые отверстия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заглушками. Обеспечивает подачу средней фракционной концентрации кислорода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вдыхаемой  смеси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-для потока 5 л/мин - 35%;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-для потока 6 л/мин - 40%; -для потока 8 л/мин - 50%; Кислородная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(не оставляет заломов)  трубка, стойкая к перегибанию,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 переменного диаметра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максимум 6мм для подключения к нестандартным разъемам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ограничителями и пальцевыми упорами длиной 210 см. Материал: винил,  полиэтилен, эластомер. Клинически чисто, в индивидуальной упаковке, однократного применения.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-гидроколлоидная 15 х 15 см, бактерицидная, абсорбирующая,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бактерицидная для местного лечения острых (ожоги) и хронических ран с риском инфицирования содержание ионов серебра 0,004 мг/см2, при малом и среднем количестве экссудата степень абсорбции 1400г/м2/24ч, на полимерной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принимать водные процедуры, обладает легким охлаждающим эффектом (60% воды), с адгезивными краями - не требует дополнительной фиксации. Размер 15х15см.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11.06.2020 17:00:00 по местному времени.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4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D37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4EB"/>
    <w:rsid w:val="002F44EB"/>
    <w:rsid w:val="007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FD850-A472-437E-B9B9-C436A69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3395</Words>
  <Characters>19355</Characters>
  <Application>Microsoft Office Word</Application>
  <DocSecurity>0</DocSecurity>
  <Lines>161</Lines>
  <Paragraphs>45</Paragraphs>
  <ScaleCrop>false</ScaleCrop>
  <Company/>
  <LinksUpToDate>false</LinksUpToDate>
  <CharactersWithSpaces>22705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2020-06-09T04:25:00Z</dcterms:created>
  <dcterms:modified xsi:type="dcterms:W3CDTF">2020-06-09T04:26:00Z</dcterms:modified>
</cp:coreProperties>
</file>