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033"/>
        <w:gridCol w:w="2795"/>
        <w:gridCol w:w="593"/>
        <w:gridCol w:w="736"/>
        <w:gridCol w:w="948"/>
        <w:gridCol w:w="1758"/>
        <w:gridCol w:w="1463"/>
      </w:tblGrid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 w:rsidRPr="009B4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Pr="009B4906" w:rsidRDefault="009B4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49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B490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B49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B490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B49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49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szCs w:val="16"/>
                <w:lang w:val="en-US"/>
              </w:rPr>
            </w:pPr>
          </w:p>
        </w:tc>
      </w:tr>
      <w:tr w:rsidR="006C25E4" w:rsidRPr="009B4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Pr="009B4906" w:rsidRDefault="009B4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90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Pr="009B4906" w:rsidRDefault="006C25E4">
            <w:pPr>
              <w:rPr>
                <w:szCs w:val="16"/>
                <w:lang w:val="en-US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 w:rsidP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08.06. 2</w:t>
            </w:r>
            <w:r>
              <w:rPr>
                <w:rFonts w:ascii="Times New Roman" w:hAnsi="Times New Roman"/>
                <w:sz w:val="24"/>
                <w:szCs w:val="24"/>
              </w:rPr>
              <w:t>020 г. №.537-2020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25E4" w:rsidRDefault="009B4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5E4" w:rsidRDefault="009B4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5E4" w:rsidRDefault="009B4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5E4" w:rsidRDefault="009B4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5E4" w:rsidRDefault="009B4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5E4" w:rsidRDefault="009B4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5E4" w:rsidRDefault="009B4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5E4" w:rsidRDefault="009B4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5E4" w:rsidRDefault="009B4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электромагнитный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Стальные поверхности замка имеют цинковое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покрытие, корпус окрашен коррозионностойкой порошковой краской. Встроенный колебательный контур обеспечивает нулевую остаточную намагниченность замка. Сила удержания 300 кг, уличное исполнение, ответная планка в комплекте, размер 225х46х27 мм. Цвет серый.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вторичного электропитания резервированный 12 В, 1,3 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вторичного электропитания резервированный, напряжение питания от сети переменного тока частотой 50 Гц 165...264 В, выходное напряжение постоянного тока 13.1...13.5 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ток нагрузки 4 А, максимальный ток нагрузки 4.5 А, рекомендуемый аккумулятор 12 В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световая индикация режимов работы, защита аккумулятора от глубокого разряда, габаритные размеры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164х167х72 мм, металлический корпус.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производства: AGM; напряжение 12 В; ёмкость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тип клеммы ушко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болт+гайка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M5; длина 181 мм; ширина 77 мм; высота 167 мм; высота с клеммой 167 мм; вес нетто 5,7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доступа на 2 считывателя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Контроллер доступа предназначен для управления доступом через одну или две точки доступа путем считывания кодов предъявляемых идентификаторов (карт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PIN-кодов), проверки прав доступа и замыкания (размыкания) контактов реле, </w:t>
            </w:r>
            <w:r>
              <w:rPr>
                <w:rFonts w:ascii="Times New Roman" w:hAnsi="Times New Roman"/>
                <w:sz w:val="24"/>
                <w:szCs w:val="24"/>
              </w:rPr>
              <w:t>управляющих запорными устройствами (электромеханическими и электромагнитными замками и защелками, турникетом, шлагбаумом). Напряжение питания от 12 до 15В. Ток потребления в дежурном режиме не более120мА. Количество подключаемых считывателей электронных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2. Расстояние от контроллера до считывателя не более100м. Емкость памяти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-карт, PIN-кодов) не менее 32768. Количество исполнительных реле для управления запорными устройствами не менее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Максимальная коммутируемая мощность каждого реле не менее 100Вт. Емкость буфера событий не менее 32768. Габаритные размеры пульта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156х107х39мм. Масса не более 0.3кг.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бесконтактная радиочастотная PROXIMITY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Бесконтактная карта </w:t>
            </w:r>
            <w:r>
              <w:rPr>
                <w:rFonts w:ascii="Times New Roman" w:hAnsi="Times New Roman"/>
                <w:sz w:val="24"/>
                <w:szCs w:val="24"/>
              </w:rPr>
              <w:t>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карта тонкая предназначена для организации и контроля доступа. Применяется как электронный пропуск в системах контроля доступа. Корпус карты выполнен из гладкого белого пластика, на который можно наносить надписи. Без нумерации. Технические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теристики: габариты (мм): 85,6x53,9x0,8 мм; масса не более 0,01 кг; формат: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материал: пластик ABS; тип памяти: только для чтения; толщина не более 0,8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4 пары категории 5e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U/UTP 4 пары. Категории 5e. Внутренний. </w:t>
            </w:r>
            <w:r>
              <w:rPr>
                <w:rFonts w:ascii="Times New Roman" w:hAnsi="Times New Roman"/>
                <w:sz w:val="24"/>
                <w:szCs w:val="24"/>
              </w:rPr>
              <w:t>PVC. Одножильный. Неэкранированный.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бесконтактный накладного типа, применяется в системах охраны и в системах контроля и управления доступом (СКД), предназначен для считывания кода идентификационных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карточек и передачи его на приёмно-контрольные приборы (ПКП) или контроллеры СКД, поддерживающие входной формат данных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Считыватель работает с идентификационными картами и брелоками, стандарта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Технические характеристики: 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анция считывания 10 см; световая индикация: 1 светодиодный индикатор питания и 1 индикатор для отображения режимов работы считывателя;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внешний интерфейс: четырёхжильный кабель; интерфейс подключаемых приборов: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управление индикацией: уп</w:t>
            </w:r>
            <w:r>
              <w:rPr>
                <w:rFonts w:ascii="Times New Roman" w:hAnsi="Times New Roman"/>
                <w:sz w:val="24"/>
                <w:szCs w:val="24"/>
              </w:rPr>
              <w:t>равление переключением между красным и зеленым светодиодом; встроенный звуковой сигнализатор; питание прибора: от прибора, к которому подключен считыватель или от отдельного источника постоянного тока; напряжение питания: 7,0 ÷ 25,0 В; потребляемый ток: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60 мА; рабочий диапазон температур: от -20 до +50°C; относительная влажность: до 98% при +25°C; степень защиты корпуса: IР20; габаритные размеры: 43х83х14 мм; тип монтажа: настенный навесной.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15х10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Кабельный канал ПВХ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двойным замком. Размер 15х10мм. Соответствие требованиям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трудновоспламеняемости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симметричной парной скрутки2х2х02 (0,5мм)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симметричной парной скрутки2х2х02 (0,5мм)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Видеодомофон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SL-07IP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Silver+Black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настенный, 7"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TFT LCD 16:9, разрешение экрана 800х480, подключение 2-х вызывных панелей, 2 видеокамер, поддержка функции Интерком до 4 домофонов (SL-10M, SL-10, SL-07M, SL-07, MS-04, MS-04M, MS-07M, SQ-07, SQ-07M) Функция памяти - запись видео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/>
                <w:sz w:val="24"/>
                <w:szCs w:val="24"/>
              </w:rPr>
              <w:t>croSD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карту до 32 Гб. Кнопка открытия замка. 16 полифонических мелодий. Встроенный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подключение к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удаленный просмотр панелей. PAL/NTSC. Потребление питания 12 Вт, питание АС 110-230 В или +12 Вт. Рекомендуется использовать с ML-15HR и </w:t>
            </w:r>
            <w:r>
              <w:rPr>
                <w:rFonts w:ascii="Times New Roman" w:hAnsi="Times New Roman"/>
                <w:sz w:val="24"/>
                <w:szCs w:val="24"/>
              </w:rPr>
              <w:t>ML-16. Размер 230х165х22мм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9B4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5E4" w:rsidRDefault="006C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25E4" w:rsidRDefault="009B4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25E4" w:rsidRDefault="009B4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25E4" w:rsidRDefault="009B4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25E4" w:rsidRDefault="009B4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11.06.2020 17:00:00 по местному времени.</w:t>
            </w: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25E4" w:rsidRDefault="009B4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25E4" w:rsidRDefault="006C25E4">
            <w:pPr>
              <w:rPr>
                <w:szCs w:val="16"/>
              </w:rPr>
            </w:pP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25E4" w:rsidRDefault="009B4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25E4" w:rsidRDefault="009B4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9B49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5E4"/>
    <w:rsid w:val="006C25E4"/>
    <w:rsid w:val="009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74DFE-DBCF-4B74-94BA-57829AA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2020-06-08T10:03:00Z</dcterms:created>
  <dcterms:modified xsi:type="dcterms:W3CDTF">2020-06-08T10:04:00Z</dcterms:modified>
</cp:coreProperties>
</file>