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6D5734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6D5734">
              <w:rPr>
                <w:rFonts w:ascii="Times New Roman" w:hAnsi="Times New Roman"/>
                <w:sz w:val="24"/>
                <w:szCs w:val="24"/>
              </w:rPr>
              <w:t>29.04.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000B0A">
              <w:rPr>
                <w:rFonts w:ascii="Times New Roman" w:hAnsi="Times New Roman"/>
                <w:sz w:val="24"/>
                <w:szCs w:val="24"/>
              </w:rPr>
              <w:t xml:space="preserve"> 519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0B0A" w:rsidP="008A500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псевдокист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поджелудочной железы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0B0A" w:rsidP="00717E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для восстановления и поддержания проходимости полых органов ЖКТ (желудочно-кишечного тракта) с системой доставки. Предназначен для дренирования кист поджелудочной железы. Диаметр основной части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14 мм, длина основной части 30 мм; полная длина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40 мм. Расширения на обоих концах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 имеют форму пятилучевой звезды (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антимиграционный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механизм).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 на доставочном устройстве. Доставочное устройство длиной 1800 мм, диаметром 10 </w:t>
            </w:r>
            <w:proofErr w:type="spellStart"/>
            <w:r w:rsidRPr="00000B0A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000B0A">
              <w:rPr>
                <w:rFonts w:ascii="Times New Roman" w:hAnsi="Times New Roman" w:cs="Times New Roman"/>
                <w:sz w:val="22"/>
              </w:rPr>
              <w:t xml:space="preserve">. Стерильная упаковка. Стерильная упаковка. </w:t>
            </w:r>
            <w:r w:rsidRPr="00000B0A">
              <w:rPr>
                <w:rFonts w:ascii="Times New Roman" w:hAnsi="Times New Roman" w:cs="Times New Roman"/>
                <w:sz w:val="22"/>
                <w:lang w:val="en-US"/>
              </w:rPr>
              <w:t>MTW</w:t>
            </w:r>
            <w:r w:rsidRPr="00000B0A">
              <w:rPr>
                <w:rFonts w:ascii="Times New Roman" w:hAnsi="Times New Roman" w:cs="Times New Roman"/>
                <w:sz w:val="22"/>
              </w:rPr>
              <w:t>, Германия</w:t>
            </w:r>
            <w:r w:rsidRPr="00000B0A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000B0A" w:rsidRDefault="00395C2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02DEA" w:rsidRPr="00000B0A" w:rsidRDefault="005C3235">
            <w:pPr>
              <w:jc w:val="center"/>
              <w:rPr>
                <w:rFonts w:ascii="Times New Roman" w:hAnsi="Times New Roman"/>
                <w:sz w:val="22"/>
              </w:rPr>
            </w:pPr>
            <w:r w:rsidRPr="00000B0A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000B0A" w:rsidRDefault="00395C2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02DEA" w:rsidRPr="00000B0A" w:rsidRDefault="00EE0060">
            <w:pPr>
              <w:jc w:val="center"/>
              <w:rPr>
                <w:rFonts w:ascii="Times New Roman" w:hAnsi="Times New Roman"/>
                <w:sz w:val="22"/>
              </w:rPr>
            </w:pPr>
            <w:r w:rsidRPr="00000B0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0B0A" w:rsidP="00EE0060">
            <w:pPr>
              <w:jc w:val="center"/>
              <w:rPr>
                <w:rFonts w:ascii="Times New Roman" w:hAnsi="Times New Roman"/>
                <w:sz w:val="22"/>
              </w:rPr>
            </w:pPr>
            <w:r w:rsidRPr="00000B0A">
              <w:rPr>
                <w:rFonts w:ascii="Times New Roman" w:hAnsi="Times New Roman"/>
                <w:sz w:val="22"/>
              </w:rPr>
              <w:t>Германия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270F">
              <w:rPr>
                <w:rFonts w:ascii="Times New Roman" w:hAnsi="Times New Roman"/>
                <w:sz w:val="28"/>
                <w:szCs w:val="28"/>
              </w:rPr>
              <w:t>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D3C45"/>
    <w:rsid w:val="0016750C"/>
    <w:rsid w:val="0017742D"/>
    <w:rsid w:val="001A72A5"/>
    <w:rsid w:val="00260B19"/>
    <w:rsid w:val="002750D2"/>
    <w:rsid w:val="0035356A"/>
    <w:rsid w:val="00377F28"/>
    <w:rsid w:val="0038270F"/>
    <w:rsid w:val="00395C2E"/>
    <w:rsid w:val="00397B42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6D5734"/>
    <w:rsid w:val="00717EAB"/>
    <w:rsid w:val="0076445B"/>
    <w:rsid w:val="00783D0E"/>
    <w:rsid w:val="00801D7C"/>
    <w:rsid w:val="008359C3"/>
    <w:rsid w:val="00842541"/>
    <w:rsid w:val="00872F87"/>
    <w:rsid w:val="00877BFE"/>
    <w:rsid w:val="008A5003"/>
    <w:rsid w:val="008E2E55"/>
    <w:rsid w:val="008E2EE4"/>
    <w:rsid w:val="008F3A7F"/>
    <w:rsid w:val="00923589"/>
    <w:rsid w:val="009C6EA3"/>
    <w:rsid w:val="00A43E28"/>
    <w:rsid w:val="00A6143E"/>
    <w:rsid w:val="00A65FDE"/>
    <w:rsid w:val="00A85038"/>
    <w:rsid w:val="00AC4092"/>
    <w:rsid w:val="00AD0A9A"/>
    <w:rsid w:val="00B114EB"/>
    <w:rsid w:val="00C57F27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DF3FC-FA2A-471E-ADEE-50AC9525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2021-04-29T05:43:00Z</dcterms:created>
  <dcterms:modified xsi:type="dcterms:W3CDTF">2021-05-07T06:31:00Z</dcterms:modified>
</cp:coreProperties>
</file>