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378"/>
        <w:gridCol w:w="2185"/>
        <w:gridCol w:w="3249"/>
        <w:gridCol w:w="1001"/>
        <w:gridCol w:w="659"/>
        <w:gridCol w:w="874"/>
        <w:gridCol w:w="1712"/>
        <w:gridCol w:w="715"/>
      </w:tblGrid>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001" w:type="dxa"/>
            <w:shd w:val="clear" w:color="FFFFFF" w:fill="auto"/>
            <w:vAlign w:val="bottom"/>
          </w:tcPr>
          <w:p w:rsidR="00FB7ACB" w:rsidRDefault="00FB7ACB">
            <w:pPr>
              <w:rPr>
                <w:rFonts w:ascii="Times New Roman" w:hAnsi="Times New Roman"/>
                <w:sz w:val="24"/>
                <w:szCs w:val="24"/>
              </w:rPr>
            </w:pPr>
          </w:p>
        </w:tc>
        <w:tc>
          <w:tcPr>
            <w:tcW w:w="1533" w:type="dxa"/>
            <w:gridSpan w:val="2"/>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Руководителю</w:t>
            </w: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Телефон: 8 (391) 220-16-13</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Факс: 8 (391) 220-16-23</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RPr="003377F0" w:rsidTr="005962A1">
        <w:trPr>
          <w:trHeight w:val="60"/>
        </w:trPr>
        <w:tc>
          <w:tcPr>
            <w:tcW w:w="5812" w:type="dxa"/>
            <w:gridSpan w:val="3"/>
            <w:shd w:val="clear" w:color="FFFFFF" w:fill="auto"/>
            <w:vAlign w:val="bottom"/>
          </w:tcPr>
          <w:p w:rsidR="00FB7ACB" w:rsidRPr="005962A1" w:rsidRDefault="005962A1">
            <w:pPr>
              <w:jc w:val="center"/>
              <w:rPr>
                <w:rFonts w:ascii="Times New Roman" w:hAnsi="Times New Roman"/>
                <w:sz w:val="24"/>
                <w:szCs w:val="24"/>
                <w:lang w:val="en-US"/>
              </w:rPr>
            </w:pPr>
            <w:r>
              <w:rPr>
                <w:rFonts w:ascii="Times New Roman" w:hAnsi="Times New Roman"/>
                <w:sz w:val="24"/>
                <w:szCs w:val="24"/>
              </w:rPr>
              <w:t>Е</w:t>
            </w:r>
            <w:r w:rsidRPr="005962A1">
              <w:rPr>
                <w:rFonts w:ascii="Times New Roman" w:hAnsi="Times New Roman"/>
                <w:sz w:val="24"/>
                <w:szCs w:val="24"/>
                <w:lang w:val="en-US"/>
              </w:rPr>
              <w:t xml:space="preserve">-mail: </w:t>
            </w:r>
            <w:proofErr w:type="spellStart"/>
            <w:r w:rsidRPr="005962A1">
              <w:rPr>
                <w:rFonts w:ascii="Times New Roman" w:hAnsi="Times New Roman"/>
                <w:sz w:val="24"/>
                <w:szCs w:val="24"/>
                <w:lang w:val="en-US"/>
              </w:rPr>
              <w:t>kkb</w:t>
            </w:r>
            <w:proofErr w:type="spellEnd"/>
            <w:r w:rsidRPr="005962A1">
              <w:rPr>
                <w:rFonts w:ascii="Times New Roman" w:hAnsi="Times New Roman"/>
                <w:sz w:val="24"/>
                <w:szCs w:val="24"/>
                <w:lang w:val="en-US"/>
              </w:rPr>
              <w:t xml:space="preserve">@ </w:t>
            </w:r>
            <w:proofErr w:type="spellStart"/>
            <w:r w:rsidRPr="005962A1">
              <w:rPr>
                <w:rFonts w:ascii="Times New Roman" w:hAnsi="Times New Roman"/>
                <w:sz w:val="24"/>
                <w:szCs w:val="24"/>
                <w:lang w:val="en-US"/>
              </w:rPr>
              <w:t>medqorod</w:t>
            </w:r>
            <w:proofErr w:type="spellEnd"/>
            <w:r w:rsidRPr="005962A1">
              <w:rPr>
                <w:rFonts w:ascii="Times New Roman" w:hAnsi="Times New Roman"/>
                <w:sz w:val="24"/>
                <w:szCs w:val="24"/>
                <w:lang w:val="en-US"/>
              </w:rPr>
              <w:t xml:space="preserve">. </w:t>
            </w:r>
            <w:proofErr w:type="spellStart"/>
            <w:r w:rsidRPr="005962A1">
              <w:rPr>
                <w:rFonts w:ascii="Times New Roman" w:hAnsi="Times New Roman"/>
                <w:sz w:val="24"/>
                <w:szCs w:val="24"/>
                <w:lang w:val="en-US"/>
              </w:rPr>
              <w:t>ru</w:t>
            </w:r>
            <w:proofErr w:type="spellEnd"/>
          </w:p>
        </w:tc>
        <w:tc>
          <w:tcPr>
            <w:tcW w:w="1001" w:type="dxa"/>
            <w:shd w:val="clear" w:color="FFFFFF" w:fill="auto"/>
            <w:vAlign w:val="bottom"/>
          </w:tcPr>
          <w:p w:rsidR="00FB7ACB" w:rsidRPr="005962A1" w:rsidRDefault="00FB7ACB">
            <w:pPr>
              <w:rPr>
                <w:rFonts w:ascii="Times New Roman" w:hAnsi="Times New Roman"/>
                <w:sz w:val="24"/>
                <w:szCs w:val="24"/>
                <w:lang w:val="en-US"/>
              </w:rPr>
            </w:pPr>
          </w:p>
        </w:tc>
        <w:tc>
          <w:tcPr>
            <w:tcW w:w="659" w:type="dxa"/>
            <w:shd w:val="clear" w:color="FFFFFF" w:fill="auto"/>
            <w:vAlign w:val="bottom"/>
          </w:tcPr>
          <w:p w:rsidR="00FB7ACB" w:rsidRPr="005962A1" w:rsidRDefault="00FB7ACB">
            <w:pPr>
              <w:rPr>
                <w:rFonts w:ascii="Times New Roman" w:hAnsi="Times New Roman"/>
                <w:sz w:val="24"/>
                <w:szCs w:val="24"/>
                <w:lang w:val="en-US"/>
              </w:rPr>
            </w:pPr>
          </w:p>
        </w:tc>
        <w:tc>
          <w:tcPr>
            <w:tcW w:w="874" w:type="dxa"/>
            <w:shd w:val="clear" w:color="FFFFFF" w:fill="auto"/>
            <w:vAlign w:val="bottom"/>
          </w:tcPr>
          <w:p w:rsidR="00FB7ACB" w:rsidRPr="005962A1" w:rsidRDefault="00FB7ACB">
            <w:pPr>
              <w:rPr>
                <w:rFonts w:ascii="Times New Roman" w:hAnsi="Times New Roman"/>
                <w:sz w:val="24"/>
                <w:szCs w:val="24"/>
                <w:lang w:val="en-US"/>
              </w:rPr>
            </w:pPr>
          </w:p>
        </w:tc>
        <w:tc>
          <w:tcPr>
            <w:tcW w:w="1712" w:type="dxa"/>
            <w:shd w:val="clear" w:color="FFFFFF" w:fill="auto"/>
            <w:vAlign w:val="bottom"/>
          </w:tcPr>
          <w:p w:rsidR="00FB7ACB" w:rsidRPr="005962A1" w:rsidRDefault="00FB7ACB">
            <w:pPr>
              <w:rPr>
                <w:rFonts w:ascii="Times New Roman" w:hAnsi="Times New Roman"/>
                <w:sz w:val="24"/>
                <w:szCs w:val="24"/>
                <w:lang w:val="en-US"/>
              </w:rPr>
            </w:pPr>
          </w:p>
        </w:tc>
        <w:tc>
          <w:tcPr>
            <w:tcW w:w="715" w:type="dxa"/>
            <w:shd w:val="clear" w:color="FFFFFF" w:fill="auto"/>
            <w:vAlign w:val="bottom"/>
          </w:tcPr>
          <w:p w:rsidR="00FB7ACB" w:rsidRPr="005962A1" w:rsidRDefault="00FB7ACB">
            <w:pPr>
              <w:rPr>
                <w:szCs w:val="16"/>
                <w:lang w:val="en-US"/>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Http://www.medgorod.ru</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ОКПО 01913234</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ИНН/КПП 2465030876/246501001</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3377F0" w:rsidP="003377F0">
            <w:pPr>
              <w:jc w:val="center"/>
              <w:rPr>
                <w:rFonts w:ascii="Times New Roman" w:hAnsi="Times New Roman"/>
                <w:sz w:val="24"/>
                <w:szCs w:val="24"/>
              </w:rPr>
            </w:pPr>
            <w:r w:rsidRPr="003377F0">
              <w:rPr>
                <w:rFonts w:ascii="Times New Roman" w:hAnsi="Times New Roman"/>
                <w:sz w:val="24"/>
                <w:szCs w:val="24"/>
              </w:rPr>
              <w:t>19</w:t>
            </w:r>
            <w:r>
              <w:rPr>
                <w:rFonts w:ascii="Times New Roman" w:hAnsi="Times New Roman"/>
                <w:sz w:val="24"/>
                <w:szCs w:val="24"/>
              </w:rPr>
              <w:t>.01.2021</w:t>
            </w:r>
            <w:r w:rsidR="005962A1">
              <w:rPr>
                <w:rFonts w:ascii="Times New Roman" w:hAnsi="Times New Roman"/>
                <w:sz w:val="24"/>
                <w:szCs w:val="24"/>
              </w:rPr>
              <w:t xml:space="preserve"> г. №.</w:t>
            </w:r>
            <w:r>
              <w:rPr>
                <w:rFonts w:ascii="Times New Roman" w:hAnsi="Times New Roman"/>
                <w:sz w:val="24"/>
                <w:szCs w:val="24"/>
              </w:rPr>
              <w:t>50</w:t>
            </w:r>
            <w:r w:rsidR="005962A1">
              <w:rPr>
                <w:rFonts w:ascii="Times New Roman" w:hAnsi="Times New Roman"/>
                <w:sz w:val="24"/>
                <w:szCs w:val="24"/>
              </w:rPr>
              <w:t>-2021</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На №_________ от ________________</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378" w:type="dxa"/>
            <w:shd w:val="clear" w:color="FFFFFF" w:fill="auto"/>
            <w:vAlign w:val="bottom"/>
          </w:tcPr>
          <w:p w:rsidR="00FB7ACB" w:rsidRDefault="00FB7ACB">
            <w:pPr>
              <w:rPr>
                <w:rFonts w:ascii="Times New Roman" w:hAnsi="Times New Roman"/>
                <w:sz w:val="24"/>
                <w:szCs w:val="24"/>
              </w:rPr>
            </w:pPr>
          </w:p>
        </w:tc>
        <w:tc>
          <w:tcPr>
            <w:tcW w:w="2185" w:type="dxa"/>
            <w:shd w:val="clear" w:color="FFFFFF" w:fill="auto"/>
            <w:vAlign w:val="bottom"/>
          </w:tcPr>
          <w:p w:rsidR="00FB7ACB" w:rsidRDefault="00FB7ACB">
            <w:pPr>
              <w:rPr>
                <w:rFonts w:ascii="Times New Roman" w:hAnsi="Times New Roman"/>
                <w:sz w:val="24"/>
                <w:szCs w:val="24"/>
              </w:rPr>
            </w:pPr>
          </w:p>
        </w:tc>
        <w:tc>
          <w:tcPr>
            <w:tcW w:w="3249" w:type="dxa"/>
            <w:shd w:val="clear" w:color="FFFFFF" w:fill="auto"/>
            <w:vAlign w:val="bottom"/>
          </w:tcPr>
          <w:p w:rsidR="00FB7ACB" w:rsidRDefault="00FB7ACB">
            <w:pPr>
              <w:rPr>
                <w:rFonts w:ascii="Times New Roman" w:hAnsi="Times New Roman"/>
                <w:sz w:val="24"/>
                <w:szCs w:val="24"/>
              </w:rPr>
            </w:pP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5812" w:type="dxa"/>
            <w:gridSpan w:val="3"/>
            <w:shd w:val="clear" w:color="FFFFFF" w:fill="auto"/>
            <w:vAlign w:val="bottom"/>
          </w:tcPr>
          <w:p w:rsidR="00FB7ACB" w:rsidRDefault="005962A1">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378" w:type="dxa"/>
            <w:shd w:val="clear" w:color="FFFFFF" w:fill="auto"/>
            <w:vAlign w:val="bottom"/>
          </w:tcPr>
          <w:p w:rsidR="00FB7ACB" w:rsidRDefault="00FB7ACB">
            <w:pPr>
              <w:rPr>
                <w:rFonts w:ascii="Times New Roman" w:hAnsi="Times New Roman"/>
                <w:sz w:val="24"/>
                <w:szCs w:val="24"/>
              </w:rPr>
            </w:pPr>
          </w:p>
        </w:tc>
        <w:tc>
          <w:tcPr>
            <w:tcW w:w="2185" w:type="dxa"/>
            <w:shd w:val="clear" w:color="FFFFFF" w:fill="auto"/>
            <w:vAlign w:val="bottom"/>
          </w:tcPr>
          <w:p w:rsidR="00FB7ACB" w:rsidRDefault="00FB7ACB">
            <w:pPr>
              <w:rPr>
                <w:rFonts w:ascii="Times New Roman" w:hAnsi="Times New Roman"/>
                <w:sz w:val="24"/>
                <w:szCs w:val="24"/>
              </w:rPr>
            </w:pPr>
          </w:p>
        </w:tc>
        <w:tc>
          <w:tcPr>
            <w:tcW w:w="3249" w:type="dxa"/>
            <w:shd w:val="clear" w:color="FFFFFF" w:fill="auto"/>
            <w:vAlign w:val="bottom"/>
          </w:tcPr>
          <w:p w:rsidR="00FB7ACB" w:rsidRDefault="00FB7ACB">
            <w:pPr>
              <w:rPr>
                <w:rFonts w:ascii="Times New Roman" w:hAnsi="Times New Roman"/>
                <w:sz w:val="24"/>
                <w:szCs w:val="24"/>
              </w:rPr>
            </w:pPr>
          </w:p>
        </w:tc>
        <w:tc>
          <w:tcPr>
            <w:tcW w:w="1001" w:type="dxa"/>
            <w:shd w:val="clear" w:color="FFFFFF" w:fill="auto"/>
            <w:vAlign w:val="bottom"/>
          </w:tcPr>
          <w:p w:rsidR="00FB7ACB" w:rsidRDefault="00FB7ACB">
            <w:pPr>
              <w:rPr>
                <w:rFonts w:ascii="Times New Roman" w:hAnsi="Times New Roman"/>
                <w:sz w:val="24"/>
                <w:szCs w:val="24"/>
              </w:rPr>
            </w:pPr>
          </w:p>
        </w:tc>
        <w:tc>
          <w:tcPr>
            <w:tcW w:w="659" w:type="dxa"/>
            <w:shd w:val="clear" w:color="FFFFFF" w:fill="auto"/>
            <w:vAlign w:val="bottom"/>
          </w:tcPr>
          <w:p w:rsidR="00FB7ACB" w:rsidRDefault="00FB7ACB">
            <w:pPr>
              <w:rPr>
                <w:rFonts w:ascii="Times New Roman" w:hAnsi="Times New Roman"/>
                <w:sz w:val="24"/>
                <w:szCs w:val="24"/>
              </w:rPr>
            </w:pPr>
          </w:p>
        </w:tc>
        <w:tc>
          <w:tcPr>
            <w:tcW w:w="874" w:type="dxa"/>
            <w:shd w:val="clear" w:color="FFFFFF" w:fill="auto"/>
            <w:vAlign w:val="bottom"/>
          </w:tcPr>
          <w:p w:rsidR="00FB7ACB" w:rsidRDefault="00FB7ACB">
            <w:pPr>
              <w:rPr>
                <w:rFonts w:ascii="Times New Roman" w:hAnsi="Times New Roman"/>
                <w:sz w:val="24"/>
                <w:szCs w:val="24"/>
              </w:rPr>
            </w:pPr>
          </w:p>
        </w:tc>
        <w:tc>
          <w:tcPr>
            <w:tcW w:w="1712" w:type="dxa"/>
            <w:shd w:val="clear" w:color="FFFFFF" w:fill="auto"/>
            <w:vAlign w:val="bottom"/>
          </w:tcPr>
          <w:p w:rsidR="00FB7ACB" w:rsidRDefault="00FB7ACB">
            <w:pPr>
              <w:rPr>
                <w:rFonts w:ascii="Times New Roman" w:hAnsi="Times New Roman"/>
                <w:sz w:val="24"/>
                <w:szCs w:val="24"/>
              </w:rPr>
            </w:pPr>
          </w:p>
        </w:tc>
        <w:tc>
          <w:tcPr>
            <w:tcW w:w="715" w:type="dxa"/>
            <w:shd w:val="clear" w:color="FFFFFF" w:fill="auto"/>
            <w:vAlign w:val="bottom"/>
          </w:tcPr>
          <w:p w:rsidR="00FB7ACB" w:rsidRDefault="00FB7ACB">
            <w:pPr>
              <w:rPr>
                <w:szCs w:val="16"/>
              </w:rPr>
            </w:pPr>
          </w:p>
        </w:tc>
      </w:tr>
      <w:tr w:rsidR="00FB7ACB" w:rsidTr="005962A1">
        <w:trPr>
          <w:trHeight w:val="60"/>
        </w:trPr>
        <w:tc>
          <w:tcPr>
            <w:tcW w:w="10058" w:type="dxa"/>
            <w:gridSpan w:val="7"/>
            <w:shd w:val="clear" w:color="FFFFFF" w:fill="auto"/>
            <w:vAlign w:val="bottom"/>
          </w:tcPr>
          <w:p w:rsidR="00FB7ACB" w:rsidRDefault="005962A1">
            <w:pPr>
              <w:jc w:val="center"/>
              <w:rPr>
                <w:rFonts w:ascii="Times New Roman" w:hAnsi="Times New Roman"/>
                <w:b/>
                <w:sz w:val="28"/>
                <w:szCs w:val="28"/>
              </w:rPr>
            </w:pPr>
            <w:r>
              <w:rPr>
                <w:rFonts w:ascii="Times New Roman" w:hAnsi="Times New Roman"/>
                <w:b/>
                <w:sz w:val="28"/>
                <w:szCs w:val="28"/>
              </w:rPr>
              <w:t>Уважаемые господа!</w:t>
            </w:r>
          </w:p>
        </w:tc>
        <w:tc>
          <w:tcPr>
            <w:tcW w:w="715" w:type="dxa"/>
            <w:shd w:val="clear" w:color="FFFFFF" w:fill="auto"/>
            <w:vAlign w:val="bottom"/>
          </w:tcPr>
          <w:p w:rsidR="00FB7ACB" w:rsidRDefault="00FB7ACB">
            <w:pPr>
              <w:rPr>
                <w:szCs w:val="16"/>
              </w:rPr>
            </w:pPr>
          </w:p>
        </w:tc>
      </w:tr>
      <w:tr w:rsidR="00FB7ACB" w:rsidTr="005962A1">
        <w:trPr>
          <w:trHeight w:val="60"/>
        </w:trPr>
        <w:tc>
          <w:tcPr>
            <w:tcW w:w="10773" w:type="dxa"/>
            <w:gridSpan w:val="8"/>
            <w:shd w:val="clear" w:color="FFFFFF" w:fill="auto"/>
            <w:vAlign w:val="bottom"/>
          </w:tcPr>
          <w:p w:rsidR="00FB7ACB" w:rsidRDefault="005962A1">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 или эквивалент:</w:t>
            </w: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 п/п</w:t>
            </w:r>
          </w:p>
        </w:tc>
        <w:tc>
          <w:tcPr>
            <w:tcW w:w="2185" w:type="dxa"/>
            <w:tcBorders>
              <w:top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Наименование</w:t>
            </w:r>
          </w:p>
        </w:tc>
        <w:tc>
          <w:tcPr>
            <w:tcW w:w="3249" w:type="dxa"/>
            <w:tcBorders>
              <w:top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Характеристики</w:t>
            </w:r>
          </w:p>
        </w:tc>
        <w:tc>
          <w:tcPr>
            <w:tcW w:w="1001" w:type="dxa"/>
            <w:tcBorders>
              <w:top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Ед. изм.</w:t>
            </w:r>
          </w:p>
        </w:tc>
        <w:tc>
          <w:tcPr>
            <w:tcW w:w="659" w:type="dxa"/>
            <w:tcBorders>
              <w:top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74" w:type="dxa"/>
            <w:tcBorders>
              <w:top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Цена, рублей</w:t>
            </w:r>
          </w:p>
        </w:tc>
        <w:tc>
          <w:tcPr>
            <w:tcW w:w="1712" w:type="dxa"/>
            <w:tcBorders>
              <w:top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Страна происхождения</w:t>
            </w:r>
          </w:p>
        </w:tc>
        <w:tc>
          <w:tcPr>
            <w:tcW w:w="715" w:type="dxa"/>
            <w:tcBorders>
              <w:top w:val="single" w:sz="5" w:space="0" w:color="auto"/>
              <w:left w:val="single" w:sz="5" w:space="0" w:color="auto"/>
              <w:bottom w:val="single" w:sz="5" w:space="0" w:color="auto"/>
              <w:right w:val="single" w:sz="5" w:space="0" w:color="auto"/>
            </w:tcBorders>
            <w:shd w:val="clear" w:color="FFFFFF" w:fill="auto"/>
            <w:vAlign w:val="center"/>
          </w:tcPr>
          <w:p w:rsidR="00FB7ACB" w:rsidRDefault="005962A1">
            <w:pPr>
              <w:jc w:val="center"/>
              <w:rPr>
                <w:rFonts w:ascii="Times New Roman" w:hAnsi="Times New Roman"/>
                <w:b/>
                <w:sz w:val="24"/>
                <w:szCs w:val="24"/>
              </w:rPr>
            </w:pPr>
            <w:r>
              <w:rPr>
                <w:rFonts w:ascii="Times New Roman" w:hAnsi="Times New Roman"/>
                <w:b/>
                <w:sz w:val="24"/>
                <w:szCs w:val="24"/>
              </w:rPr>
              <w:t>КТРУ</w:t>
            </w: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1</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Катетер для ЧПНС, J тип,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длина 35 см, </w:t>
            </w:r>
            <w:proofErr w:type="spellStart"/>
            <w:r>
              <w:rPr>
                <w:rFonts w:ascii="Times New Roman" w:hAnsi="Times New Roman"/>
                <w:sz w:val="24"/>
                <w:szCs w:val="24"/>
              </w:rPr>
              <w:t>металический</w:t>
            </w:r>
            <w:proofErr w:type="spellEnd"/>
            <w:r>
              <w:rPr>
                <w:rFonts w:ascii="Times New Roman" w:hAnsi="Times New Roman"/>
                <w:sz w:val="24"/>
                <w:szCs w:val="24"/>
              </w:rPr>
              <w:t xml:space="preserve"> стилет, коннектор, материал </w:t>
            </w:r>
            <w:proofErr w:type="spellStart"/>
            <w:r>
              <w:rPr>
                <w:rFonts w:ascii="Times New Roman" w:hAnsi="Times New Roman"/>
                <w:sz w:val="24"/>
                <w:szCs w:val="24"/>
              </w:rPr>
              <w:t>Vortek</w:t>
            </w:r>
            <w:proofErr w:type="spellEnd"/>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Катетер для ЧПНС,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длина 35 см, </w:t>
            </w:r>
            <w:proofErr w:type="spellStart"/>
            <w:r>
              <w:rPr>
                <w:rFonts w:ascii="Times New Roman" w:hAnsi="Times New Roman"/>
                <w:sz w:val="24"/>
                <w:szCs w:val="24"/>
              </w:rPr>
              <w:t>Ch</w:t>
            </w:r>
            <w:proofErr w:type="spellEnd"/>
            <w:r>
              <w:rPr>
                <w:rFonts w:ascii="Times New Roman" w:hAnsi="Times New Roman"/>
                <w:sz w:val="24"/>
                <w:szCs w:val="24"/>
              </w:rPr>
              <w:t xml:space="preserve"> 10, 6 боковых отверстий на петле, расположенных в шахматном порядке, торцевое отверстие, градуировка на катетере по сантиметрам,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w:t>
            </w:r>
            <w:proofErr w:type="spellStart"/>
            <w:r>
              <w:rPr>
                <w:rFonts w:ascii="Times New Roman" w:hAnsi="Times New Roman"/>
                <w:sz w:val="24"/>
                <w:szCs w:val="24"/>
              </w:rPr>
              <w:t>Вортек</w:t>
            </w:r>
            <w:proofErr w:type="spellEnd"/>
            <w:r>
              <w:rPr>
                <w:rFonts w:ascii="Times New Roman" w:hAnsi="Times New Roman"/>
                <w:sz w:val="24"/>
                <w:szCs w:val="24"/>
              </w:rPr>
              <w:t xml:space="preserve"> (</w:t>
            </w:r>
            <w:proofErr w:type="spellStart"/>
            <w:r>
              <w:rPr>
                <w:rFonts w:ascii="Times New Roman" w:hAnsi="Times New Roman"/>
                <w:sz w:val="24"/>
                <w:szCs w:val="24"/>
              </w:rPr>
              <w:t>Vortek</w:t>
            </w:r>
            <w:proofErr w:type="spellEnd"/>
            <w:r>
              <w:rPr>
                <w:rFonts w:ascii="Times New Roman" w:hAnsi="Times New Roman"/>
                <w:sz w:val="24"/>
                <w:szCs w:val="24"/>
              </w:rPr>
              <w:t xml:space="preserve">),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металлический стилет, переходник для мочеприемника, длина 25 см, материал ПВХ; коннектор </w:t>
            </w:r>
            <w:proofErr w:type="spellStart"/>
            <w:r>
              <w:rPr>
                <w:rFonts w:ascii="Times New Roman" w:hAnsi="Times New Roman"/>
                <w:sz w:val="24"/>
                <w:szCs w:val="24"/>
              </w:rPr>
              <w:t>Луэр-лок</w:t>
            </w:r>
            <w:proofErr w:type="spellEnd"/>
            <w:r>
              <w:rPr>
                <w:rFonts w:ascii="Times New Roman" w:hAnsi="Times New Roman"/>
                <w:sz w:val="24"/>
                <w:szCs w:val="24"/>
              </w:rPr>
              <w:t xml:space="preserve"> с запирательным механизмом.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r>
              <w:rPr>
                <w:rFonts w:ascii="Times New Roman" w:hAnsi="Times New Roman"/>
                <w:sz w:val="24"/>
                <w:szCs w:val="24"/>
              </w:rPr>
              <w:br/>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2</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2</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 100% силикон, имплантация до 90 суток</w:t>
            </w:r>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 изготовлен из прозрачного 100% силикона, </w:t>
            </w:r>
            <w:proofErr w:type="gramStart"/>
            <w:r>
              <w:rPr>
                <w:rFonts w:ascii="Times New Roman" w:hAnsi="Times New Roman"/>
                <w:sz w:val="24"/>
                <w:szCs w:val="24"/>
              </w:rPr>
              <w:t>Должен</w:t>
            </w:r>
            <w:proofErr w:type="gramEnd"/>
            <w:r>
              <w:rPr>
                <w:rFonts w:ascii="Times New Roman" w:hAnsi="Times New Roman"/>
                <w:sz w:val="24"/>
                <w:szCs w:val="24"/>
              </w:rPr>
              <w:t xml:space="preserve"> иметь закрытый дистальный конец и не менее двух боковых отверстий. Дистальный конец катетера должен быть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w:t>
            </w:r>
            <w:r>
              <w:rPr>
                <w:rFonts w:ascii="Times New Roman" w:hAnsi="Times New Roman"/>
                <w:sz w:val="24"/>
                <w:szCs w:val="24"/>
              </w:rPr>
              <w:lastRenderedPageBreak/>
              <w:t xml:space="preserve">постановки. Коннектор должен подходить к мочеприемникам любого типа. Тройная стерилизация катетера, длительность использования до 90 </w:t>
            </w:r>
            <w:proofErr w:type="spellStart"/>
            <w:r>
              <w:rPr>
                <w:rFonts w:ascii="Times New Roman" w:hAnsi="Times New Roman"/>
                <w:sz w:val="24"/>
                <w:szCs w:val="24"/>
              </w:rPr>
              <w:t>дней.Длина</w:t>
            </w:r>
            <w:proofErr w:type="spellEnd"/>
            <w:r>
              <w:rPr>
                <w:rFonts w:ascii="Times New Roman" w:hAnsi="Times New Roman"/>
                <w:sz w:val="24"/>
                <w:szCs w:val="24"/>
              </w:rPr>
              <w:t xml:space="preserve"> катетера 42 см, размер катетера 18 </w:t>
            </w:r>
            <w:proofErr w:type="spellStart"/>
            <w:r>
              <w:rPr>
                <w:rFonts w:ascii="Times New Roman" w:hAnsi="Times New Roman"/>
                <w:sz w:val="24"/>
                <w:szCs w:val="24"/>
              </w:rPr>
              <w:t>Ch</w:t>
            </w:r>
            <w:proofErr w:type="spellEnd"/>
            <w:r>
              <w:rPr>
                <w:rFonts w:ascii="Times New Roman" w:hAnsi="Times New Roman"/>
                <w:sz w:val="24"/>
                <w:szCs w:val="24"/>
              </w:rPr>
              <w:t>.</w:t>
            </w:r>
            <w:r>
              <w:rPr>
                <w:rFonts w:ascii="Times New Roman" w:hAnsi="Times New Roman"/>
                <w:sz w:val="24"/>
                <w:szCs w:val="24"/>
              </w:rPr>
              <w:br/>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5</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3</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Протез полового члена</w:t>
            </w:r>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Комплект из двух сложносоставных стержней, покрытых двухслойной силиконовой оболочкой наличие. Полужесткая сгибаемая конструкция протеза. Возможные диаметры стержней 9,5мм; 11мм; 13 мм.  Гидрофильное покрытие стрежней протеза и прилагаемых колпачков, обеспечивающее абсорбцию антибактериальных растворов перед имплантацией. Наличие спиралей из двух кордов из сплава титана и серебра с памятью формы. Длина спирали не более 1/2 от общей длины стержня протеза. Дистальные концы стержней конусовидной анатомической формы. Набор анатомических колпачков, устанавливающихся на проксимальный конец стержня протеза, не менее 6 шт. Возможность удлинения проксимального конца стержня протеза за счет колпачка на длины, не менее +0,5см; +1 см. Возможность персонализации стержней протеза, путем обрезания проксимальной части. Мерная шкала, нанесённая на боковые поверхности стержней </w:t>
            </w:r>
            <w:proofErr w:type="spellStart"/>
            <w:r>
              <w:rPr>
                <w:rFonts w:ascii="Times New Roman" w:hAnsi="Times New Roman"/>
                <w:sz w:val="24"/>
                <w:szCs w:val="24"/>
              </w:rPr>
              <w:t>фаллопротеза</w:t>
            </w:r>
            <w:proofErr w:type="spellEnd"/>
            <w:r>
              <w:rPr>
                <w:rFonts w:ascii="Times New Roman" w:hAnsi="Times New Roman"/>
                <w:sz w:val="24"/>
                <w:szCs w:val="24"/>
              </w:rPr>
              <w:t xml:space="preserve">, для точного укорочения проксимальной части. На дистальной части стержней указан индивидуальный номер протеза, соответствующий наклейке для гарантии. Минимально возможная длина протезов, не более 14 см.  Максимально возможная длина протезов, не менее 27 см. Двойная стерильная </w:t>
            </w:r>
            <w:r>
              <w:rPr>
                <w:rFonts w:ascii="Times New Roman" w:hAnsi="Times New Roman"/>
                <w:sz w:val="24"/>
                <w:szCs w:val="24"/>
              </w:rPr>
              <w:lastRenderedPageBreak/>
              <w:t>упаковка.</w:t>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5</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4</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СН 07 длительной имплантации 12 месяцев</w:t>
            </w:r>
          </w:p>
        </w:tc>
        <w:tc>
          <w:tcPr>
            <w:tcW w:w="3249" w:type="dxa"/>
            <w:tcBorders>
              <w:top w:val="single" w:sz="5" w:space="0" w:color="auto"/>
              <w:bottom w:val="single" w:sz="5" w:space="0" w:color="auto"/>
              <w:right w:val="single" w:sz="5" w:space="0" w:color="auto"/>
            </w:tcBorders>
            <w:shd w:val="clear" w:color="FFFFFF" w:fill="auto"/>
          </w:tcPr>
          <w:p w:rsidR="00FB7ACB" w:rsidRDefault="005962A1" w:rsidP="005962A1">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двойная петля для внутреннего дренирования верхних отделов мочевыводящей системы, открытый/закрытый, длина 26 см, </w:t>
            </w:r>
            <w:proofErr w:type="spellStart"/>
            <w:r>
              <w:rPr>
                <w:rFonts w:ascii="Times New Roman" w:hAnsi="Times New Roman"/>
                <w:sz w:val="24"/>
                <w:szCs w:val="24"/>
              </w:rPr>
              <w:t>Ch</w:t>
            </w:r>
            <w:proofErr w:type="spellEnd"/>
            <w:r>
              <w:rPr>
                <w:rFonts w:ascii="Times New Roman" w:hAnsi="Times New Roman"/>
                <w:sz w:val="24"/>
                <w:szCs w:val="24"/>
              </w:rPr>
              <w:t xml:space="preserve"> 7, градуировка на </w:t>
            </w:r>
            <w:proofErr w:type="spellStart"/>
            <w:r>
              <w:rPr>
                <w:rFonts w:ascii="Times New Roman" w:hAnsi="Times New Roman"/>
                <w:sz w:val="24"/>
                <w:szCs w:val="24"/>
              </w:rPr>
              <w:t>стенте</w:t>
            </w:r>
            <w:proofErr w:type="spellEnd"/>
            <w:r>
              <w:rPr>
                <w:rFonts w:ascii="Times New Roman" w:hAnsi="Times New Roman"/>
                <w:sz w:val="24"/>
                <w:szCs w:val="24"/>
              </w:rPr>
              <w:t xml:space="preserve"> по сантиметрам, отверстия на петлях и прямой части </w:t>
            </w:r>
            <w:proofErr w:type="spellStart"/>
            <w:r>
              <w:rPr>
                <w:rFonts w:ascii="Times New Roman" w:hAnsi="Times New Roman"/>
                <w:sz w:val="24"/>
                <w:szCs w:val="24"/>
              </w:rPr>
              <w:t>стента</w:t>
            </w:r>
            <w:proofErr w:type="spellEnd"/>
            <w:r>
              <w:rPr>
                <w:rFonts w:ascii="Times New Roman" w:hAnsi="Times New Roman"/>
                <w:sz w:val="24"/>
                <w:szCs w:val="24"/>
              </w:rPr>
              <w:t xml:space="preserve">,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имплантаци4до 12 месяцев; проводник </w:t>
            </w:r>
            <w:proofErr w:type="spellStart"/>
            <w:r>
              <w:rPr>
                <w:rFonts w:ascii="Times New Roman" w:hAnsi="Times New Roman"/>
                <w:sz w:val="24"/>
                <w:szCs w:val="24"/>
              </w:rPr>
              <w:t>Сельдингер</w:t>
            </w:r>
            <w:proofErr w:type="spellEnd"/>
            <w:r>
              <w:rPr>
                <w:rFonts w:ascii="Times New Roman" w:hAnsi="Times New Roman"/>
                <w:sz w:val="24"/>
                <w:szCs w:val="24"/>
              </w:rPr>
              <w:t xml:space="preserve"> с фиксированным сердечником, жесткий, длина 150см, диаметр 0,035", материал сталь с тефлоновым покрытием; соединяющийся толкатель, позволяющий перемещать </w:t>
            </w:r>
            <w:proofErr w:type="spellStart"/>
            <w:r>
              <w:rPr>
                <w:rFonts w:ascii="Times New Roman" w:hAnsi="Times New Roman"/>
                <w:sz w:val="24"/>
                <w:szCs w:val="24"/>
              </w:rPr>
              <w:t>стент</w:t>
            </w:r>
            <w:proofErr w:type="spellEnd"/>
            <w:r>
              <w:rPr>
                <w:rFonts w:ascii="Times New Roman" w:hAnsi="Times New Roman"/>
                <w:sz w:val="24"/>
                <w:szCs w:val="24"/>
              </w:rPr>
              <w:t xml:space="preserve"> в двух направлениях.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r>
              <w:rPr>
                <w:rFonts w:ascii="Times New Roman" w:hAnsi="Times New Roman"/>
                <w:sz w:val="24"/>
                <w:szCs w:val="24"/>
              </w:rPr>
              <w:br/>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1</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5</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PolarisUltra</w:t>
            </w:r>
            <w:proofErr w:type="spellEnd"/>
            <w:r>
              <w:rPr>
                <w:rFonts w:ascii="Times New Roman" w:hAnsi="Times New Roman"/>
                <w:sz w:val="24"/>
                <w:szCs w:val="24"/>
              </w:rPr>
              <w:t xml:space="preserve"> 6F, 26 см, длительной имплантации 12 месяцев</w:t>
            </w:r>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для обеспечения дренажа из почек в мочевой пузырь. Может быть установлен под эндоскопическим или </w:t>
            </w:r>
            <w:proofErr w:type="spellStart"/>
            <w:r>
              <w:rPr>
                <w:rFonts w:ascii="Times New Roman" w:hAnsi="Times New Roman"/>
                <w:sz w:val="24"/>
                <w:szCs w:val="24"/>
              </w:rPr>
              <w:t>флюороскопическимконтролем</w:t>
            </w:r>
            <w:proofErr w:type="spellEnd"/>
            <w:r>
              <w:rPr>
                <w:rFonts w:ascii="Times New Roman" w:hAnsi="Times New Roman"/>
                <w:sz w:val="24"/>
                <w:szCs w:val="24"/>
              </w:rPr>
              <w:t xml:space="preserve"> или во время открытой хирургической операции. С целью снижения риска </w:t>
            </w:r>
            <w:proofErr w:type="spellStart"/>
            <w:r>
              <w:rPr>
                <w:rFonts w:ascii="Times New Roman" w:hAnsi="Times New Roman"/>
                <w:sz w:val="24"/>
                <w:szCs w:val="24"/>
              </w:rPr>
              <w:t>интра</w:t>
            </w:r>
            <w:proofErr w:type="spellEnd"/>
            <w:r>
              <w:rPr>
                <w:rFonts w:ascii="Times New Roman" w:hAnsi="Times New Roman"/>
                <w:sz w:val="24"/>
                <w:szCs w:val="24"/>
              </w:rPr>
              <w:t xml:space="preserve">- и </w:t>
            </w:r>
            <w:proofErr w:type="spellStart"/>
            <w:r>
              <w:rPr>
                <w:rFonts w:ascii="Times New Roman" w:hAnsi="Times New Roman"/>
                <w:sz w:val="24"/>
                <w:szCs w:val="24"/>
              </w:rPr>
              <w:t>постпроцедурных</w:t>
            </w:r>
            <w:proofErr w:type="spellEnd"/>
            <w:r>
              <w:rPr>
                <w:rFonts w:ascii="Times New Roman" w:hAnsi="Times New Roman"/>
                <w:sz w:val="24"/>
                <w:szCs w:val="24"/>
              </w:rPr>
              <w:t xml:space="preserve"> осложнений, в том числе дизурии, должны быть предусмотрены как минимум следующие конструктивные особенности: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должен быть биосовместимым с возможностью нахождения в теле пациента не менее 365 дней;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должен становиться мягче при нагревании до температуры тела пациента; сниженная </w:t>
            </w:r>
            <w:proofErr w:type="spellStart"/>
            <w:r>
              <w:rPr>
                <w:rFonts w:ascii="Times New Roman" w:hAnsi="Times New Roman"/>
                <w:sz w:val="24"/>
                <w:szCs w:val="24"/>
              </w:rPr>
              <w:t>цитотоксичность</w:t>
            </w:r>
            <w:proofErr w:type="spellEnd"/>
            <w:r>
              <w:rPr>
                <w:rFonts w:ascii="Times New Roman" w:hAnsi="Times New Roman"/>
                <w:sz w:val="24"/>
                <w:szCs w:val="24"/>
              </w:rPr>
              <w:t xml:space="preserve"> и </w:t>
            </w:r>
            <w:proofErr w:type="spellStart"/>
            <w:r>
              <w:rPr>
                <w:rFonts w:ascii="Times New Roman" w:hAnsi="Times New Roman"/>
                <w:sz w:val="24"/>
                <w:szCs w:val="24"/>
              </w:rPr>
              <w:t>цитодиструкция</w:t>
            </w:r>
            <w:proofErr w:type="spellEnd"/>
            <w:r>
              <w:rPr>
                <w:rFonts w:ascii="Times New Roman" w:hAnsi="Times New Roman"/>
                <w:sz w:val="24"/>
                <w:szCs w:val="24"/>
              </w:rPr>
              <w:t xml:space="preserve"> по сравнению со стандартным модифицированным </w:t>
            </w:r>
            <w:proofErr w:type="spellStart"/>
            <w:r>
              <w:rPr>
                <w:rFonts w:ascii="Times New Roman" w:hAnsi="Times New Roman"/>
                <w:sz w:val="24"/>
                <w:szCs w:val="24"/>
              </w:rPr>
              <w:lastRenderedPageBreak/>
              <w:t>полиуератном</w:t>
            </w:r>
            <w:proofErr w:type="spellEnd"/>
            <w:r>
              <w:rPr>
                <w:rFonts w:ascii="Times New Roman" w:hAnsi="Times New Roman"/>
                <w:sz w:val="24"/>
                <w:szCs w:val="24"/>
              </w:rPr>
              <w:t xml:space="preserve">; повышенная дренирующая способность по сравнению со стандартным полиуретановым </w:t>
            </w:r>
            <w:proofErr w:type="spellStart"/>
            <w:r>
              <w:rPr>
                <w:rFonts w:ascii="Times New Roman" w:hAnsi="Times New Roman"/>
                <w:sz w:val="24"/>
                <w:szCs w:val="24"/>
              </w:rPr>
              <w:t>стентом</w:t>
            </w:r>
            <w:proofErr w:type="spellEnd"/>
            <w:r>
              <w:rPr>
                <w:rFonts w:ascii="Times New Roman" w:hAnsi="Times New Roman"/>
                <w:sz w:val="24"/>
                <w:szCs w:val="24"/>
              </w:rPr>
              <w:t xml:space="preserve">; покрытие </w:t>
            </w:r>
            <w:proofErr w:type="spellStart"/>
            <w:r>
              <w:rPr>
                <w:rFonts w:ascii="Times New Roman" w:hAnsi="Times New Roman"/>
                <w:sz w:val="24"/>
                <w:szCs w:val="24"/>
              </w:rPr>
              <w:t>стента</w:t>
            </w:r>
            <w:proofErr w:type="spellEnd"/>
            <w:r>
              <w:rPr>
                <w:rFonts w:ascii="Times New Roman" w:hAnsi="Times New Roman"/>
                <w:sz w:val="24"/>
                <w:szCs w:val="24"/>
              </w:rPr>
              <w:t xml:space="preserve"> гидрофильное, снижающее риск инкрустации и облегчающее установку; дистальный кончик </w:t>
            </w:r>
            <w:proofErr w:type="spellStart"/>
            <w:r>
              <w:rPr>
                <w:rFonts w:ascii="Times New Roman" w:hAnsi="Times New Roman"/>
                <w:sz w:val="24"/>
                <w:szCs w:val="24"/>
              </w:rPr>
              <w:t>стента</w:t>
            </w:r>
            <w:proofErr w:type="spellEnd"/>
            <w:r>
              <w:rPr>
                <w:rFonts w:ascii="Times New Roman" w:hAnsi="Times New Roman"/>
                <w:sz w:val="24"/>
                <w:szCs w:val="24"/>
              </w:rPr>
              <w:t xml:space="preserve"> конусообразный, для облегчения введения в мочеточник;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со стороны мочевого пузыря должен быть мягче материала со стороны почки. Перфорации по всей длине </w:t>
            </w:r>
            <w:proofErr w:type="spellStart"/>
            <w:r>
              <w:rPr>
                <w:rFonts w:ascii="Times New Roman" w:hAnsi="Times New Roman"/>
                <w:sz w:val="24"/>
                <w:szCs w:val="24"/>
              </w:rPr>
              <w:t>стента</w:t>
            </w:r>
            <w:proofErr w:type="spellEnd"/>
            <w:r>
              <w:rPr>
                <w:rFonts w:ascii="Times New Roman" w:hAnsi="Times New Roman"/>
                <w:sz w:val="24"/>
                <w:szCs w:val="24"/>
              </w:rPr>
              <w:t xml:space="preserve">, спирально расположенные. Диаметр </w:t>
            </w:r>
            <w:proofErr w:type="spellStart"/>
            <w:r>
              <w:rPr>
                <w:rFonts w:ascii="Times New Roman" w:hAnsi="Times New Roman"/>
                <w:sz w:val="24"/>
                <w:szCs w:val="24"/>
              </w:rPr>
              <w:t>стента</w:t>
            </w:r>
            <w:proofErr w:type="spellEnd"/>
            <w:r>
              <w:rPr>
                <w:rFonts w:ascii="Times New Roman" w:hAnsi="Times New Roman"/>
                <w:sz w:val="24"/>
                <w:szCs w:val="24"/>
              </w:rPr>
              <w:t xml:space="preserve"> 6F. Длина </w:t>
            </w:r>
            <w:proofErr w:type="spellStart"/>
            <w:r>
              <w:rPr>
                <w:rFonts w:ascii="Times New Roman" w:hAnsi="Times New Roman"/>
                <w:sz w:val="24"/>
                <w:szCs w:val="24"/>
              </w:rPr>
              <w:t>стента</w:t>
            </w:r>
            <w:proofErr w:type="spellEnd"/>
            <w:r>
              <w:rPr>
                <w:rFonts w:ascii="Times New Roman" w:hAnsi="Times New Roman"/>
                <w:sz w:val="24"/>
                <w:szCs w:val="24"/>
              </w:rPr>
              <w:t xml:space="preserve"> (между </w:t>
            </w:r>
            <w:proofErr w:type="spellStart"/>
            <w:r>
              <w:rPr>
                <w:rFonts w:ascii="Times New Roman" w:hAnsi="Times New Roman"/>
                <w:sz w:val="24"/>
                <w:szCs w:val="24"/>
              </w:rPr>
              <w:t>пигтейлами</w:t>
            </w:r>
            <w:proofErr w:type="spellEnd"/>
            <w:r>
              <w:rPr>
                <w:rFonts w:ascii="Times New Roman" w:hAnsi="Times New Roman"/>
                <w:sz w:val="24"/>
                <w:szCs w:val="24"/>
              </w:rPr>
              <w:t xml:space="preserve">) не менее 25,5 и не более 26,5 см. В комплекте нить для </w:t>
            </w:r>
            <w:proofErr w:type="spellStart"/>
            <w:r>
              <w:rPr>
                <w:rFonts w:ascii="Times New Roman" w:hAnsi="Times New Roman"/>
                <w:sz w:val="24"/>
                <w:szCs w:val="24"/>
              </w:rPr>
              <w:t>извеления</w:t>
            </w:r>
            <w:proofErr w:type="spellEnd"/>
            <w:r>
              <w:rPr>
                <w:rFonts w:ascii="Times New Roman" w:hAnsi="Times New Roman"/>
                <w:sz w:val="24"/>
                <w:szCs w:val="24"/>
              </w:rPr>
              <w:t xml:space="preserve"> и устройство для позиционирования. Стерильный. Одноразовый.</w:t>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1</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6</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с двойной петлей для </w:t>
            </w:r>
            <w:proofErr w:type="spellStart"/>
            <w:r>
              <w:rPr>
                <w:rFonts w:ascii="Times New Roman" w:hAnsi="Times New Roman"/>
                <w:sz w:val="24"/>
                <w:szCs w:val="24"/>
              </w:rPr>
              <w:t>пиелопластики</w:t>
            </w:r>
            <w:proofErr w:type="spellEnd"/>
            <w:r>
              <w:rPr>
                <w:rFonts w:ascii="Times New Roman" w:hAnsi="Times New Roman"/>
                <w:sz w:val="24"/>
                <w:szCs w:val="24"/>
              </w:rPr>
              <w:t xml:space="preserve"> СН8, длина 26 см</w:t>
            </w:r>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proofErr w:type="spellStart"/>
            <w:r>
              <w:rPr>
                <w:rFonts w:ascii="Times New Roman" w:hAnsi="Times New Roman"/>
                <w:sz w:val="24"/>
                <w:szCs w:val="24"/>
              </w:rPr>
              <w:t>Пиелостент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двухпетлевой</w:t>
            </w:r>
            <w:proofErr w:type="spellEnd"/>
            <w:r>
              <w:rPr>
                <w:rFonts w:ascii="Times New Roman" w:hAnsi="Times New Roman"/>
                <w:sz w:val="24"/>
                <w:szCs w:val="24"/>
              </w:rPr>
              <w:t xml:space="preserve">, для установки после </w:t>
            </w:r>
            <w:proofErr w:type="spellStart"/>
            <w:r>
              <w:rPr>
                <w:rFonts w:ascii="Times New Roman" w:hAnsi="Times New Roman"/>
                <w:sz w:val="24"/>
                <w:szCs w:val="24"/>
              </w:rPr>
              <w:t>пиелопластики</w:t>
            </w:r>
            <w:proofErr w:type="spellEnd"/>
            <w:r>
              <w:rPr>
                <w:rFonts w:ascii="Times New Roman" w:hAnsi="Times New Roman"/>
                <w:sz w:val="24"/>
                <w:szCs w:val="24"/>
              </w:rPr>
              <w:t xml:space="preserve">, открытый/открытый, длина 26 см, </w:t>
            </w:r>
            <w:proofErr w:type="spellStart"/>
            <w:r>
              <w:rPr>
                <w:rFonts w:ascii="Times New Roman" w:hAnsi="Times New Roman"/>
                <w:sz w:val="24"/>
                <w:szCs w:val="24"/>
              </w:rPr>
              <w:t>Ch</w:t>
            </w:r>
            <w:proofErr w:type="spellEnd"/>
            <w:r>
              <w:rPr>
                <w:rFonts w:ascii="Times New Roman" w:hAnsi="Times New Roman"/>
                <w:sz w:val="24"/>
                <w:szCs w:val="24"/>
              </w:rPr>
              <w:t xml:space="preserve"> 8 на петлях </w:t>
            </w:r>
            <w:proofErr w:type="spellStart"/>
            <w:r>
              <w:rPr>
                <w:rFonts w:ascii="Times New Roman" w:hAnsi="Times New Roman"/>
                <w:sz w:val="24"/>
                <w:szCs w:val="24"/>
              </w:rPr>
              <w:t>стента</w:t>
            </w:r>
            <w:proofErr w:type="spellEnd"/>
            <w:r>
              <w:rPr>
                <w:rFonts w:ascii="Times New Roman" w:hAnsi="Times New Roman"/>
                <w:sz w:val="24"/>
                <w:szCs w:val="24"/>
              </w:rPr>
              <w:t xml:space="preserve">, усиленная лоханочная часть (утолщение) </w:t>
            </w:r>
            <w:proofErr w:type="spellStart"/>
            <w:r>
              <w:rPr>
                <w:rFonts w:ascii="Times New Roman" w:hAnsi="Times New Roman"/>
                <w:sz w:val="24"/>
                <w:szCs w:val="24"/>
              </w:rPr>
              <w:t>Ch</w:t>
            </w:r>
            <w:proofErr w:type="spellEnd"/>
            <w:r>
              <w:rPr>
                <w:rFonts w:ascii="Times New Roman" w:hAnsi="Times New Roman"/>
                <w:sz w:val="24"/>
                <w:szCs w:val="24"/>
              </w:rPr>
              <w:t xml:space="preserve"> 12, материал мягкий силикон, длительность имплантации до 12 месяцев; проводник </w:t>
            </w:r>
            <w:proofErr w:type="spellStart"/>
            <w:r>
              <w:rPr>
                <w:rFonts w:ascii="Times New Roman" w:hAnsi="Times New Roman"/>
                <w:sz w:val="24"/>
                <w:szCs w:val="24"/>
              </w:rPr>
              <w:t>Сельдингер</w:t>
            </w:r>
            <w:proofErr w:type="spellEnd"/>
            <w:r>
              <w:rPr>
                <w:rFonts w:ascii="Times New Roman" w:hAnsi="Times New Roman"/>
                <w:sz w:val="24"/>
                <w:szCs w:val="24"/>
              </w:rPr>
              <w:t xml:space="preserve"> с фиксированным сердечником, длина 150см, диаметр 0,035", материал сталь с тефлоновым покрытием; присоединяющийся толкатель, позволяющий изменять положение </w:t>
            </w:r>
            <w:proofErr w:type="spellStart"/>
            <w:r>
              <w:rPr>
                <w:rFonts w:ascii="Times New Roman" w:hAnsi="Times New Roman"/>
                <w:sz w:val="24"/>
                <w:szCs w:val="24"/>
              </w:rPr>
              <w:t>стента</w:t>
            </w:r>
            <w:proofErr w:type="spellEnd"/>
            <w:r>
              <w:rPr>
                <w:rFonts w:ascii="Times New Roman" w:hAnsi="Times New Roman"/>
                <w:sz w:val="24"/>
                <w:szCs w:val="24"/>
              </w:rPr>
              <w:t xml:space="preserve"> в двух направлениях. Стерильный.</w:t>
            </w:r>
            <w:r>
              <w:rPr>
                <w:rFonts w:ascii="Times New Roman" w:hAnsi="Times New Roman"/>
                <w:sz w:val="24"/>
                <w:szCs w:val="24"/>
              </w:rPr>
              <w:br/>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1</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rsidP="005962A1">
            <w:pPr>
              <w:rPr>
                <w:rFonts w:ascii="Times New Roman" w:hAnsi="Times New Roman"/>
                <w:sz w:val="24"/>
                <w:szCs w:val="24"/>
              </w:rPr>
            </w:pPr>
            <w:r>
              <w:rPr>
                <w:rFonts w:ascii="Times New Roman" w:hAnsi="Times New Roman"/>
                <w:sz w:val="24"/>
                <w:szCs w:val="24"/>
              </w:rPr>
              <w:t>7</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Струна-проводник для </w:t>
            </w:r>
            <w:proofErr w:type="spellStart"/>
            <w:r>
              <w:rPr>
                <w:rFonts w:ascii="Times New Roman" w:hAnsi="Times New Roman"/>
                <w:sz w:val="24"/>
                <w:szCs w:val="24"/>
              </w:rPr>
              <w:t>стента</w:t>
            </w:r>
            <w:proofErr w:type="spellEnd"/>
            <w:r>
              <w:rPr>
                <w:rFonts w:ascii="Times New Roman" w:hAnsi="Times New Roman"/>
                <w:sz w:val="24"/>
                <w:szCs w:val="24"/>
              </w:rPr>
              <w:t xml:space="preserve"> мочеточникового с подвижным сердечником тип </w:t>
            </w:r>
            <w:proofErr w:type="spellStart"/>
            <w:r>
              <w:rPr>
                <w:rFonts w:ascii="Times New Roman" w:hAnsi="Times New Roman"/>
                <w:sz w:val="24"/>
                <w:szCs w:val="24"/>
              </w:rPr>
              <w:t>Сельдингера</w:t>
            </w:r>
            <w:proofErr w:type="spellEnd"/>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проводник </w:t>
            </w:r>
            <w:proofErr w:type="spellStart"/>
            <w:r>
              <w:rPr>
                <w:rFonts w:ascii="Times New Roman" w:hAnsi="Times New Roman"/>
                <w:sz w:val="24"/>
                <w:szCs w:val="24"/>
              </w:rPr>
              <w:t>Сельдингера</w:t>
            </w:r>
            <w:proofErr w:type="spellEnd"/>
            <w:r>
              <w:rPr>
                <w:rFonts w:ascii="Times New Roman" w:hAnsi="Times New Roman"/>
                <w:sz w:val="24"/>
                <w:szCs w:val="24"/>
              </w:rPr>
              <w:t xml:space="preserve"> с тефлоновым покрытием, тип проводника - прямой наконечник, проводник с подвижным сердечником, длина проводника 150 см, диаметр 0,035", жесткость - стандартная. </w:t>
            </w:r>
            <w:proofErr w:type="spellStart"/>
            <w:r>
              <w:rPr>
                <w:rFonts w:ascii="Times New Roman" w:hAnsi="Times New Roman"/>
                <w:sz w:val="24"/>
                <w:szCs w:val="24"/>
              </w:rPr>
              <w:t>Стерилльный</w:t>
            </w:r>
            <w:proofErr w:type="spellEnd"/>
            <w:r>
              <w:rPr>
                <w:rFonts w:ascii="Times New Roman" w:hAnsi="Times New Roman"/>
                <w:sz w:val="24"/>
                <w:szCs w:val="24"/>
              </w:rPr>
              <w:t>. Одноразовый.</w:t>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4</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8</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Струна-проводник для </w:t>
            </w:r>
            <w:proofErr w:type="spellStart"/>
            <w:r>
              <w:rPr>
                <w:rFonts w:ascii="Times New Roman" w:hAnsi="Times New Roman"/>
                <w:sz w:val="24"/>
                <w:szCs w:val="24"/>
              </w:rPr>
              <w:t>стента</w:t>
            </w:r>
            <w:proofErr w:type="spellEnd"/>
            <w:r>
              <w:rPr>
                <w:rFonts w:ascii="Times New Roman" w:hAnsi="Times New Roman"/>
                <w:sz w:val="24"/>
                <w:szCs w:val="24"/>
              </w:rPr>
              <w:t xml:space="preserve"> мочеточникового </w:t>
            </w:r>
            <w:r>
              <w:rPr>
                <w:rFonts w:ascii="Times New Roman" w:hAnsi="Times New Roman"/>
                <w:sz w:val="24"/>
                <w:szCs w:val="24"/>
              </w:rPr>
              <w:lastRenderedPageBreak/>
              <w:t xml:space="preserve">тип </w:t>
            </w:r>
            <w:proofErr w:type="spellStart"/>
            <w:r>
              <w:rPr>
                <w:rFonts w:ascii="Times New Roman" w:hAnsi="Times New Roman"/>
                <w:sz w:val="24"/>
                <w:szCs w:val="24"/>
              </w:rPr>
              <w:t>Шуллера</w:t>
            </w:r>
            <w:proofErr w:type="spellEnd"/>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 xml:space="preserve">Проводник-струна для установки катетеров. Изготовлен из нержавеющей </w:t>
            </w:r>
            <w:r>
              <w:rPr>
                <w:rFonts w:ascii="Times New Roman" w:hAnsi="Times New Roman"/>
                <w:sz w:val="24"/>
                <w:szCs w:val="24"/>
              </w:rPr>
              <w:lastRenderedPageBreak/>
              <w:t>стали, с тефлоновым покрытием, диаметром 0,035 дюйма. Длина 100 см, с прямым наконечником и неподвижным сердечником, жесткой частью 30 см, гибкой частью 7 см. Компактная стерильная упаковка. Не содержит латекса. Для однократного применения.</w:t>
            </w:r>
            <w:r>
              <w:rPr>
                <w:rFonts w:ascii="Times New Roman" w:hAnsi="Times New Roman"/>
                <w:sz w:val="24"/>
                <w:szCs w:val="24"/>
              </w:rPr>
              <w:br/>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4</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9</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Струна-проводник ПТФЭ-</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с гидрофильным и гибким проксимальным концом 0,035"</w:t>
            </w:r>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для получения доступа к мочевыводящим путям и почкам для позиционирования </w:t>
            </w:r>
            <w:proofErr w:type="spellStart"/>
            <w:r>
              <w:rPr>
                <w:rFonts w:ascii="Times New Roman" w:hAnsi="Times New Roman"/>
                <w:sz w:val="24"/>
                <w:szCs w:val="24"/>
              </w:rPr>
              <w:t>эндоурологического</w:t>
            </w:r>
            <w:proofErr w:type="spellEnd"/>
            <w:r>
              <w:rPr>
                <w:rFonts w:ascii="Times New Roman" w:hAnsi="Times New Roman"/>
                <w:sz w:val="24"/>
                <w:szCs w:val="24"/>
              </w:rPr>
              <w:t xml:space="preserve">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 сердечник проводника изготовлен из сплава никеля и титана (</w:t>
            </w:r>
            <w:proofErr w:type="spellStart"/>
            <w:r>
              <w:rPr>
                <w:rFonts w:ascii="Times New Roman" w:hAnsi="Times New Roman"/>
                <w:sz w:val="24"/>
                <w:szCs w:val="24"/>
              </w:rPr>
              <w:t>нитинол</w:t>
            </w:r>
            <w:proofErr w:type="spellEnd"/>
            <w:r>
              <w:rPr>
                <w:rFonts w:ascii="Times New Roman" w:hAnsi="Times New Roman"/>
                <w:sz w:val="24"/>
                <w:szCs w:val="24"/>
              </w:rPr>
              <w:t xml:space="preserve">) или материала с аналогичными свойствами для обеспечения стойкости к излому и улучшения управления; проводник имеет 3 см гибкий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дистальный кончик и 5 см гидрофильное покрытие; проксимальный кончик проводника гибкий для предотвращения повреждения канала эндоскопа;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145 см и не более 155 см. Стерильный. Одноразовый.</w:t>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4</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60"/>
        </w:trPr>
        <w:tc>
          <w:tcPr>
            <w:tcW w:w="378" w:type="dxa"/>
            <w:tcBorders>
              <w:top w:val="single" w:sz="5" w:space="0" w:color="auto"/>
              <w:left w:val="single" w:sz="5" w:space="0" w:color="auto"/>
              <w:bottom w:val="single" w:sz="5" w:space="0" w:color="auto"/>
              <w:right w:val="single" w:sz="5" w:space="0" w:color="auto"/>
            </w:tcBorders>
            <w:shd w:val="clear" w:color="FFFFFF" w:fill="auto"/>
          </w:tcPr>
          <w:p w:rsidR="00FB7ACB" w:rsidRDefault="005962A1" w:rsidP="005962A1">
            <w:pPr>
              <w:jc w:val="center"/>
              <w:rPr>
                <w:rFonts w:ascii="Times New Roman" w:hAnsi="Times New Roman"/>
                <w:sz w:val="24"/>
                <w:szCs w:val="24"/>
              </w:rPr>
            </w:pPr>
            <w:r>
              <w:rPr>
                <w:rFonts w:ascii="Times New Roman" w:hAnsi="Times New Roman"/>
                <w:sz w:val="24"/>
                <w:szCs w:val="24"/>
              </w:rPr>
              <w:t>10</w:t>
            </w:r>
          </w:p>
        </w:tc>
        <w:tc>
          <w:tcPr>
            <w:tcW w:w="2185"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Струна-проводник сверхжесткий с покрытием ПТФЭ 0,035"</w:t>
            </w:r>
          </w:p>
        </w:tc>
        <w:tc>
          <w:tcPr>
            <w:tcW w:w="324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 xml:space="preserve">Проводник стальной повышенной жесткости для получения доступа к мочевыводящим путям и почкам для позиционирования </w:t>
            </w:r>
            <w:proofErr w:type="spellStart"/>
            <w:r>
              <w:rPr>
                <w:rFonts w:ascii="Times New Roman" w:hAnsi="Times New Roman"/>
                <w:sz w:val="24"/>
                <w:szCs w:val="24"/>
              </w:rPr>
              <w:t>эндоурологического</w:t>
            </w:r>
            <w:proofErr w:type="spellEnd"/>
            <w:r>
              <w:rPr>
                <w:rFonts w:ascii="Times New Roman" w:hAnsi="Times New Roman"/>
                <w:sz w:val="24"/>
                <w:szCs w:val="24"/>
              </w:rPr>
              <w:t xml:space="preserve"> инструментария. С целью предотвращения осложнений, </w:t>
            </w:r>
            <w:r>
              <w:rPr>
                <w:rFonts w:ascii="Times New Roman" w:hAnsi="Times New Roman"/>
                <w:sz w:val="24"/>
                <w:szCs w:val="24"/>
              </w:rPr>
              <w:lastRenderedPageBreak/>
              <w:t xml:space="preserve">в том числе перфораций, а так же обеспечения функциональности проводника, должны быть предусмотрены как минимум </w:t>
            </w:r>
            <w:proofErr w:type="gramStart"/>
            <w:r>
              <w:rPr>
                <w:rFonts w:ascii="Times New Roman" w:hAnsi="Times New Roman"/>
                <w:sz w:val="24"/>
                <w:szCs w:val="24"/>
              </w:rPr>
              <w:t>следующие  конструктивные</w:t>
            </w:r>
            <w:proofErr w:type="gramEnd"/>
            <w:r>
              <w:rPr>
                <w:rFonts w:ascii="Times New Roman" w:hAnsi="Times New Roman"/>
                <w:sz w:val="24"/>
                <w:szCs w:val="24"/>
              </w:rPr>
              <w:t xml:space="preserve"> особенности: сердечник проводника изготовлен из стали или материала с аналогичными свойствами для обеспечения </w:t>
            </w:r>
            <w:proofErr w:type="spellStart"/>
            <w:r>
              <w:rPr>
                <w:rFonts w:ascii="Times New Roman" w:hAnsi="Times New Roman"/>
                <w:sz w:val="24"/>
                <w:szCs w:val="24"/>
              </w:rPr>
              <w:t>проталкиваемости</w:t>
            </w:r>
            <w:proofErr w:type="spellEnd"/>
            <w:r>
              <w:rPr>
                <w:rFonts w:ascii="Times New Roman" w:hAnsi="Times New Roman"/>
                <w:sz w:val="24"/>
                <w:szCs w:val="24"/>
              </w:rPr>
              <w:t xml:space="preserve"> и повышенной </w:t>
            </w:r>
            <w:proofErr w:type="spellStart"/>
            <w:r>
              <w:rPr>
                <w:rFonts w:ascii="Times New Roman" w:hAnsi="Times New Roman"/>
                <w:sz w:val="24"/>
                <w:szCs w:val="24"/>
              </w:rPr>
              <w:t>ренгенконтрастности</w:t>
            </w:r>
            <w:proofErr w:type="spellEnd"/>
            <w:r>
              <w:rPr>
                <w:rFonts w:ascii="Times New Roman" w:hAnsi="Times New Roman"/>
                <w:sz w:val="24"/>
                <w:szCs w:val="24"/>
              </w:rPr>
              <w:t xml:space="preserve">; проводник имеет 3,5 см гибкий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дистальный кончик;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142,5 см и не более 147,5 см. Стерильный. Одноразовый.</w:t>
            </w:r>
          </w:p>
        </w:tc>
        <w:tc>
          <w:tcPr>
            <w:tcW w:w="1001"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lastRenderedPageBreak/>
              <w:t>шт.</w:t>
            </w:r>
          </w:p>
        </w:tc>
        <w:tc>
          <w:tcPr>
            <w:tcW w:w="659" w:type="dxa"/>
            <w:tcBorders>
              <w:top w:val="single" w:sz="5" w:space="0" w:color="auto"/>
              <w:bottom w:val="single" w:sz="5" w:space="0" w:color="auto"/>
              <w:right w:val="single" w:sz="5" w:space="0" w:color="auto"/>
            </w:tcBorders>
            <w:shd w:val="clear" w:color="FFFFFF" w:fill="auto"/>
          </w:tcPr>
          <w:p w:rsidR="00FB7ACB" w:rsidRDefault="005962A1">
            <w:pPr>
              <w:jc w:val="center"/>
              <w:rPr>
                <w:rFonts w:ascii="Times New Roman" w:hAnsi="Times New Roman"/>
                <w:sz w:val="24"/>
                <w:szCs w:val="24"/>
              </w:rPr>
            </w:pPr>
            <w:r>
              <w:rPr>
                <w:rFonts w:ascii="Times New Roman" w:hAnsi="Times New Roman"/>
                <w:sz w:val="24"/>
                <w:szCs w:val="24"/>
              </w:rPr>
              <w:t>4</w:t>
            </w:r>
          </w:p>
        </w:tc>
        <w:tc>
          <w:tcPr>
            <w:tcW w:w="874"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1712" w:type="dxa"/>
            <w:tcBorders>
              <w:top w:val="single" w:sz="5" w:space="0" w:color="auto"/>
              <w:bottom w:val="single" w:sz="5" w:space="0" w:color="auto"/>
              <w:right w:val="single" w:sz="5" w:space="0" w:color="auto"/>
            </w:tcBorders>
            <w:shd w:val="clear" w:color="FFFFFF" w:fill="auto"/>
          </w:tcPr>
          <w:p w:rsidR="00FB7ACB" w:rsidRDefault="00FB7ACB">
            <w:pPr>
              <w:jc w:val="center"/>
              <w:rPr>
                <w:rFonts w:ascii="Times New Roman" w:hAnsi="Times New Roman"/>
                <w:sz w:val="24"/>
                <w:szCs w:val="24"/>
              </w:rPr>
            </w:pPr>
          </w:p>
        </w:tc>
        <w:tc>
          <w:tcPr>
            <w:tcW w:w="715" w:type="dxa"/>
            <w:tcBorders>
              <w:top w:val="single" w:sz="5" w:space="0" w:color="auto"/>
              <w:left w:val="single" w:sz="5" w:space="0" w:color="auto"/>
              <w:bottom w:val="single" w:sz="5" w:space="0" w:color="auto"/>
              <w:right w:val="single" w:sz="5" w:space="0" w:color="auto"/>
            </w:tcBorders>
            <w:shd w:val="clear" w:color="FFFFFF" w:fill="auto"/>
            <w:vAlign w:val="bottom"/>
          </w:tcPr>
          <w:p w:rsidR="00FB7ACB" w:rsidRDefault="00FB7ACB">
            <w:pPr>
              <w:rPr>
                <w:szCs w:val="16"/>
              </w:rPr>
            </w:pPr>
          </w:p>
        </w:tc>
      </w:tr>
      <w:tr w:rsidR="00FB7ACB" w:rsidTr="005962A1">
        <w:trPr>
          <w:trHeight w:val="375"/>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r w:rsidR="00FB7ACB" w:rsidTr="005962A1">
        <w:trPr>
          <w:trHeight w:val="60"/>
        </w:trPr>
        <w:tc>
          <w:tcPr>
            <w:tcW w:w="10773" w:type="dxa"/>
            <w:gridSpan w:val="8"/>
            <w:shd w:val="clear" w:color="FFFFFF" w:fill="auto"/>
            <w:vAlign w:val="bottom"/>
          </w:tcPr>
          <w:p w:rsidR="00FB7ACB" w:rsidRDefault="005962A1">
            <w:pPr>
              <w:rPr>
                <w:rFonts w:ascii="Times New Roman" w:hAnsi="Times New Roman"/>
                <w:sz w:val="28"/>
                <w:szCs w:val="28"/>
              </w:rPr>
            </w:pPr>
            <w:r>
              <w:rPr>
                <w:rFonts w:ascii="Times New Roman" w:hAnsi="Times New Roman"/>
                <w:sz w:val="28"/>
                <w:szCs w:val="28"/>
              </w:rPr>
              <w:t>Срок поставки: по заявке Заказчика с момента заключения контракта, но не позднее 15 ноября 2021 г.</w:t>
            </w:r>
          </w:p>
        </w:tc>
      </w:tr>
      <w:tr w:rsidR="00FB7ACB" w:rsidTr="005962A1">
        <w:trPr>
          <w:trHeight w:val="120"/>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r w:rsidR="00FB7ACB" w:rsidTr="005962A1">
        <w:trPr>
          <w:trHeight w:val="60"/>
        </w:trPr>
        <w:tc>
          <w:tcPr>
            <w:tcW w:w="10773" w:type="dxa"/>
            <w:gridSpan w:val="8"/>
            <w:shd w:val="clear" w:color="FFFFFF" w:fill="auto"/>
            <w:vAlign w:val="bottom"/>
          </w:tcPr>
          <w:p w:rsidR="00FB7ACB" w:rsidRDefault="005962A1">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FB7ACB" w:rsidTr="005962A1">
        <w:trPr>
          <w:trHeight w:val="120"/>
        </w:trPr>
        <w:tc>
          <w:tcPr>
            <w:tcW w:w="378" w:type="dxa"/>
            <w:shd w:val="clear" w:color="FFFFFF" w:fill="auto"/>
            <w:vAlign w:val="bottom"/>
          </w:tcPr>
          <w:p w:rsidR="00FB7ACB" w:rsidRDefault="00FB7ACB">
            <w:pPr>
              <w:rPr>
                <w:rFonts w:ascii="Times New Roman" w:hAnsi="Times New Roman"/>
                <w:sz w:val="28"/>
                <w:szCs w:val="28"/>
              </w:rPr>
            </w:pPr>
          </w:p>
        </w:tc>
        <w:tc>
          <w:tcPr>
            <w:tcW w:w="2185" w:type="dxa"/>
            <w:shd w:val="clear" w:color="FFFFFF" w:fill="auto"/>
            <w:vAlign w:val="bottom"/>
          </w:tcPr>
          <w:p w:rsidR="00FB7ACB" w:rsidRDefault="00FB7ACB">
            <w:pPr>
              <w:rPr>
                <w:rFonts w:ascii="Times New Roman" w:hAnsi="Times New Roman"/>
                <w:sz w:val="28"/>
                <w:szCs w:val="28"/>
              </w:rPr>
            </w:pPr>
          </w:p>
        </w:tc>
        <w:tc>
          <w:tcPr>
            <w:tcW w:w="3249" w:type="dxa"/>
            <w:shd w:val="clear" w:color="FFFFFF" w:fill="auto"/>
            <w:vAlign w:val="bottom"/>
          </w:tcPr>
          <w:p w:rsidR="00FB7ACB" w:rsidRDefault="00FB7ACB">
            <w:pPr>
              <w:rPr>
                <w:rFonts w:ascii="Times New Roman" w:hAnsi="Times New Roman"/>
                <w:sz w:val="28"/>
                <w:szCs w:val="28"/>
              </w:rPr>
            </w:pPr>
          </w:p>
        </w:tc>
        <w:tc>
          <w:tcPr>
            <w:tcW w:w="1001" w:type="dxa"/>
            <w:shd w:val="clear" w:color="FFFFFF" w:fill="auto"/>
            <w:vAlign w:val="bottom"/>
          </w:tcPr>
          <w:p w:rsidR="00FB7ACB" w:rsidRDefault="00FB7ACB">
            <w:pPr>
              <w:rPr>
                <w:rFonts w:ascii="Times New Roman" w:hAnsi="Times New Roman"/>
                <w:sz w:val="28"/>
                <w:szCs w:val="28"/>
              </w:rPr>
            </w:pPr>
          </w:p>
        </w:tc>
        <w:tc>
          <w:tcPr>
            <w:tcW w:w="659" w:type="dxa"/>
            <w:shd w:val="clear" w:color="FFFFFF" w:fill="auto"/>
            <w:vAlign w:val="bottom"/>
          </w:tcPr>
          <w:p w:rsidR="00FB7ACB" w:rsidRDefault="00FB7ACB">
            <w:pPr>
              <w:rPr>
                <w:rFonts w:ascii="Times New Roman" w:hAnsi="Times New Roman"/>
                <w:sz w:val="28"/>
                <w:szCs w:val="28"/>
              </w:rPr>
            </w:pPr>
          </w:p>
        </w:tc>
        <w:tc>
          <w:tcPr>
            <w:tcW w:w="874" w:type="dxa"/>
            <w:shd w:val="clear" w:color="FFFFFF" w:fill="auto"/>
            <w:vAlign w:val="bottom"/>
          </w:tcPr>
          <w:p w:rsidR="00FB7ACB" w:rsidRDefault="00FB7ACB">
            <w:pPr>
              <w:rPr>
                <w:rFonts w:ascii="Times New Roman" w:hAnsi="Times New Roman"/>
                <w:sz w:val="28"/>
                <w:szCs w:val="28"/>
              </w:rPr>
            </w:pPr>
          </w:p>
        </w:tc>
        <w:tc>
          <w:tcPr>
            <w:tcW w:w="1712" w:type="dxa"/>
            <w:shd w:val="clear" w:color="FFFFFF" w:fill="auto"/>
            <w:vAlign w:val="bottom"/>
          </w:tcPr>
          <w:p w:rsidR="00FB7ACB" w:rsidRDefault="00FB7ACB">
            <w:pPr>
              <w:rPr>
                <w:rFonts w:ascii="Times New Roman" w:hAnsi="Times New Roman"/>
                <w:sz w:val="28"/>
                <w:szCs w:val="28"/>
              </w:rPr>
            </w:pPr>
          </w:p>
        </w:tc>
        <w:tc>
          <w:tcPr>
            <w:tcW w:w="715" w:type="dxa"/>
            <w:shd w:val="clear" w:color="FFFFFF" w:fill="auto"/>
            <w:vAlign w:val="bottom"/>
          </w:tcPr>
          <w:p w:rsidR="00FB7ACB" w:rsidRDefault="00FB7ACB">
            <w:pPr>
              <w:rPr>
                <w:szCs w:val="16"/>
              </w:rPr>
            </w:pPr>
          </w:p>
        </w:tc>
      </w:tr>
      <w:tr w:rsidR="00FB7ACB" w:rsidTr="005962A1">
        <w:trPr>
          <w:trHeight w:val="60"/>
        </w:trPr>
        <w:tc>
          <w:tcPr>
            <w:tcW w:w="10773" w:type="dxa"/>
            <w:gridSpan w:val="8"/>
            <w:shd w:val="clear" w:color="FFFFFF" w:fill="auto"/>
            <w:vAlign w:val="bottom"/>
          </w:tcPr>
          <w:p w:rsidR="00FB7ACB" w:rsidRDefault="005962A1">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FB7ACB" w:rsidTr="005962A1">
        <w:trPr>
          <w:trHeight w:val="165"/>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r w:rsidR="00FB7ACB" w:rsidTr="005962A1">
        <w:trPr>
          <w:trHeight w:val="60"/>
        </w:trPr>
        <w:tc>
          <w:tcPr>
            <w:tcW w:w="10773" w:type="dxa"/>
            <w:gridSpan w:val="8"/>
            <w:shd w:val="clear" w:color="FFFFFF" w:fill="auto"/>
            <w:vAlign w:val="bottom"/>
          </w:tcPr>
          <w:p w:rsidR="00FB7ACB" w:rsidRDefault="005962A1" w:rsidP="003377F0">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003377F0">
              <w:rPr>
                <w:rFonts w:ascii="Times New Roman" w:hAnsi="Times New Roman"/>
                <w:sz w:val="28"/>
                <w:szCs w:val="28"/>
              </w:rPr>
              <w:t>21.01.2021 г.</w:t>
            </w:r>
            <w:bookmarkStart w:id="0" w:name="_GoBack"/>
            <w:bookmarkEnd w:id="0"/>
            <w:r>
              <w:rPr>
                <w:rFonts w:ascii="Times New Roman" w:hAnsi="Times New Roman"/>
                <w:sz w:val="28"/>
                <w:szCs w:val="28"/>
              </w:rPr>
              <w:t xml:space="preserve"> 17:00:00 по местному времени.</w:t>
            </w:r>
          </w:p>
        </w:tc>
      </w:tr>
      <w:tr w:rsidR="00FB7ACB" w:rsidTr="005962A1">
        <w:trPr>
          <w:trHeight w:val="60"/>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r w:rsidR="00FB7ACB" w:rsidTr="005962A1">
        <w:trPr>
          <w:trHeight w:val="60"/>
        </w:trPr>
        <w:tc>
          <w:tcPr>
            <w:tcW w:w="10773" w:type="dxa"/>
            <w:gridSpan w:val="8"/>
            <w:shd w:val="clear" w:color="FFFFFF" w:fill="auto"/>
            <w:vAlign w:val="bottom"/>
          </w:tcPr>
          <w:p w:rsidR="00FB7ACB" w:rsidRDefault="005962A1">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FB7ACB" w:rsidTr="005962A1">
        <w:trPr>
          <w:trHeight w:val="60"/>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r w:rsidR="00FB7ACB" w:rsidTr="005962A1">
        <w:trPr>
          <w:trHeight w:val="60"/>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r w:rsidR="00FB7ACB" w:rsidTr="005962A1">
        <w:trPr>
          <w:trHeight w:val="60"/>
        </w:trPr>
        <w:tc>
          <w:tcPr>
            <w:tcW w:w="378" w:type="dxa"/>
            <w:shd w:val="clear" w:color="FFFFFF" w:fill="auto"/>
            <w:vAlign w:val="bottom"/>
          </w:tcPr>
          <w:p w:rsidR="00FB7ACB" w:rsidRDefault="00FB7ACB">
            <w:pPr>
              <w:rPr>
                <w:szCs w:val="16"/>
              </w:rPr>
            </w:pPr>
          </w:p>
        </w:tc>
        <w:tc>
          <w:tcPr>
            <w:tcW w:w="2185" w:type="dxa"/>
            <w:shd w:val="clear" w:color="FFFFFF" w:fill="auto"/>
            <w:vAlign w:val="bottom"/>
          </w:tcPr>
          <w:p w:rsidR="00FB7ACB" w:rsidRDefault="00FB7ACB">
            <w:pPr>
              <w:rPr>
                <w:szCs w:val="16"/>
              </w:rPr>
            </w:pPr>
          </w:p>
        </w:tc>
        <w:tc>
          <w:tcPr>
            <w:tcW w:w="3249" w:type="dxa"/>
            <w:shd w:val="clear" w:color="FFFFFF" w:fill="auto"/>
            <w:vAlign w:val="bottom"/>
          </w:tcPr>
          <w:p w:rsidR="00FB7ACB" w:rsidRDefault="00FB7ACB">
            <w:pPr>
              <w:rPr>
                <w:szCs w:val="16"/>
              </w:rPr>
            </w:pPr>
          </w:p>
        </w:tc>
        <w:tc>
          <w:tcPr>
            <w:tcW w:w="1001" w:type="dxa"/>
            <w:shd w:val="clear" w:color="FFFFFF" w:fill="auto"/>
            <w:vAlign w:val="bottom"/>
          </w:tcPr>
          <w:p w:rsidR="00FB7ACB" w:rsidRDefault="00FB7ACB">
            <w:pPr>
              <w:rPr>
                <w:szCs w:val="16"/>
              </w:rPr>
            </w:pPr>
          </w:p>
        </w:tc>
        <w:tc>
          <w:tcPr>
            <w:tcW w:w="659" w:type="dxa"/>
            <w:shd w:val="clear" w:color="FFFFFF" w:fill="auto"/>
            <w:vAlign w:val="bottom"/>
          </w:tcPr>
          <w:p w:rsidR="00FB7ACB" w:rsidRDefault="00FB7ACB">
            <w:pPr>
              <w:rPr>
                <w:szCs w:val="16"/>
              </w:rPr>
            </w:pPr>
          </w:p>
        </w:tc>
        <w:tc>
          <w:tcPr>
            <w:tcW w:w="874" w:type="dxa"/>
            <w:shd w:val="clear" w:color="FFFFFF" w:fill="auto"/>
            <w:vAlign w:val="bottom"/>
          </w:tcPr>
          <w:p w:rsidR="00FB7ACB" w:rsidRDefault="00FB7ACB">
            <w:pPr>
              <w:rPr>
                <w:szCs w:val="16"/>
              </w:rPr>
            </w:pPr>
          </w:p>
        </w:tc>
        <w:tc>
          <w:tcPr>
            <w:tcW w:w="1712" w:type="dxa"/>
            <w:shd w:val="clear" w:color="FFFFFF" w:fill="auto"/>
            <w:vAlign w:val="bottom"/>
          </w:tcPr>
          <w:p w:rsidR="00FB7ACB" w:rsidRDefault="00FB7ACB">
            <w:pPr>
              <w:rPr>
                <w:szCs w:val="16"/>
              </w:rPr>
            </w:pPr>
          </w:p>
        </w:tc>
        <w:tc>
          <w:tcPr>
            <w:tcW w:w="715" w:type="dxa"/>
            <w:shd w:val="clear" w:color="FFFFFF" w:fill="auto"/>
            <w:vAlign w:val="bottom"/>
          </w:tcPr>
          <w:p w:rsidR="00FB7ACB" w:rsidRDefault="00FB7ACB">
            <w:pPr>
              <w:rPr>
                <w:szCs w:val="16"/>
              </w:rPr>
            </w:pPr>
          </w:p>
        </w:tc>
      </w:tr>
    </w:tbl>
    <w:p w:rsidR="00701ACD" w:rsidRDefault="00701ACD"/>
    <w:sectPr w:rsidR="00701ACD">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CB"/>
    <w:rsid w:val="003377F0"/>
    <w:rsid w:val="005962A1"/>
    <w:rsid w:val="00701ACD"/>
    <w:rsid w:val="00E256A6"/>
    <w:rsid w:val="00FB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35D60-B2CD-4ECF-AD71-AF5AD19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2</cp:revision>
  <dcterms:created xsi:type="dcterms:W3CDTF">2021-01-19T06:40:00Z</dcterms:created>
  <dcterms:modified xsi:type="dcterms:W3CDTF">2021-01-19T06:40:00Z</dcterms:modified>
</cp:coreProperties>
</file>