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773" w:type="dxa"/>
        <w:tblLayout w:type="fixed"/>
        <w:tblCellMar>
          <w:left w:w="0" w:type="dxa"/>
          <w:right w:w="0" w:type="dxa"/>
        </w:tblCellMar>
        <w:tblLook w:val="04A0"/>
      </w:tblPr>
      <w:tblGrid>
        <w:gridCol w:w="551"/>
        <w:gridCol w:w="1483"/>
        <w:gridCol w:w="1943"/>
        <w:gridCol w:w="656"/>
        <w:gridCol w:w="748"/>
        <w:gridCol w:w="853"/>
        <w:gridCol w:w="1221"/>
        <w:gridCol w:w="1168"/>
        <w:gridCol w:w="971"/>
        <w:gridCol w:w="1116"/>
      </w:tblGrid>
      <w:tr>
        <w:trPr>
          <w:trHeight w:val="615" w:hRule="exact"/>
        </w:trPr>
        <w:tc>
          <w:tcPr>
            <w:tcW w:w="3977" w:type="dxa"/>
            <w:gridSpan w:val="3"/>
            <w:shd w:val="clear" w:color="auto" w:fill="auto"/>
            <w:textDirection w:val="lrTb"/>
            <w:vAlign w:val="bottom"/>
          </w:tcPr>
          <w:p>
            <w:pPr>
              <w:wordWrap w:val="1"/>
              <w:jc w:val="center"/>
              <w:rPr>
                <w:rFonts w:ascii="Times New Roman" w:hAnsi="Times New Roman"/>
                <w:sz w:val="24"/>
                <w:szCs w:val="24"/>
              </w:rPr>
            </w:pPr>
            <w:r>
              <w:rPr>
                <w:rFonts w:ascii="Times New Roman" w:hAnsi="Times New Roman"/>
                <w:sz w:val="24"/>
                <w:szCs w:val="24"/>
              </w:rPr>
              <w:t>Краевое государственное бюджетное учреждение здравоохранения</w:t>
            </w:r>
          </w:p>
        </w:tc>
        <w:tc>
          <w:tcPr>
            <w:tcW w:w="656" w:type="dxa"/>
            <w:shd w:val="clear" w:color="auto" w:fill="auto"/>
            <w:textDirection w:val="lrTb"/>
            <w:vAlign w:val="bottom"/>
          </w:tcPr>
          <w:p>
            <w:pPr>
              <w:jc w:val="left"/>
              <w:rPr>
                <w:rFonts w:ascii="Times New Roman" w:hAnsi="Times New Roman"/>
                <w:sz w:val="24"/>
                <w:szCs w:val="24"/>
              </w:rPr>
            </w:pPr>
            <w:r/>
          </w:p>
        </w:tc>
        <w:tc>
          <w:tcPr>
            <w:tcW w:w="1601" w:type="dxa"/>
            <w:gridSpan w:val="2"/>
            <w:shd w:val="clear" w:color="auto" w:fill="auto"/>
            <w:textDirection w:val="lrTb"/>
            <w:vAlign w:val="bottom"/>
          </w:tcPr>
          <w:p>
            <w:pPr>
              <w:jc w:val="center"/>
              <w:rPr>
                <w:rFonts w:ascii="Times New Roman" w:hAnsi="Times New Roman"/>
                <w:sz w:val="24"/>
                <w:szCs w:val="24"/>
              </w:rPr>
            </w:pPr>
            <w:r>
              <w:rPr>
                <w:rFonts w:ascii="Times New Roman" w:hAnsi="Times New Roman"/>
                <w:sz w:val="24"/>
                <w:szCs w:val="24"/>
              </w:rPr>
              <w:t>Руководителю </w:t>
            </w:r>
          </w:p>
        </w:tc>
        <w:tc>
          <w:tcPr>
            <w:tcW w:w="1221" w:type="dxa"/>
            <w:shd w:val="clear" w:color="auto" w:fill="auto"/>
            <w:textDirection w:val="lrTb"/>
            <w:vAlign w:val="bottom"/>
          </w:tcPr>
          <w:p>
            <w:pPr>
              <w:jc w:val="left"/>
              <w:rPr>
                <w:rFonts w:ascii="Times New Roman" w:hAnsi="Times New Roman"/>
                <w:sz w:val="24"/>
                <w:szCs w:val="24"/>
              </w:rPr>
            </w:pPr>
            <w:r/>
          </w:p>
        </w:tc>
        <w:tc>
          <w:tcPr>
            <w:tcW w:w="1168" w:type="dxa"/>
            <w:shd w:val="clear" w:color="auto" w:fill="auto"/>
            <w:textDirection w:val="lrTb"/>
            <w:vAlign w:val="bottom"/>
          </w:tcPr>
          <w:p>
            <w:pPr>
              <w:rPr>
                <w:rFonts w:ascii="Arial" w:hAnsi="Arial"/>
                <w:sz w:val="16"/>
                <w:szCs w:val="16"/>
              </w:rPr>
            </w:pPr>
            <w:r/>
          </w:p>
        </w:tc>
        <w:tc>
          <w:tcPr>
            <w:tcW w:w="971" w:type="dxa"/>
            <w:shd w:val="clear" w:color="auto" w:fill="auto"/>
            <w:textDirection w:val="lrTb"/>
            <w:vAlign w:val="bottom"/>
          </w:tcPr>
          <w:p>
            <w:pPr>
              <w:rPr>
                <w:rFonts w:ascii="Arial" w:hAnsi="Arial"/>
                <w:sz w:val="16"/>
                <w:szCs w:val="16"/>
              </w:rPr>
            </w:pPr>
            <w:r/>
          </w:p>
        </w:tc>
        <w:tc>
          <w:tcPr>
            <w:tcW w:w="1116" w:type="dxa"/>
            <w:shd w:val="clear" w:color="auto" w:fill="auto"/>
            <w:textDirection w:val="lrTb"/>
            <w:vAlign w:val="bottom"/>
          </w:tcPr>
          <w:p>
            <w:pPr>
              <w:rPr>
                <w:rFonts w:ascii="Arial" w:hAnsi="Arial"/>
                <w:sz w:val="16"/>
                <w:szCs w:val="16"/>
              </w:rPr>
            </w:pPr>
            <w:r/>
          </w:p>
        </w:tc>
      </w:tr>
      <w:tr>
        <w:trPr>
          <w:trHeight w:val="315" w:hRule="exact"/>
        </w:trPr>
        <w:tc>
          <w:tcPr>
            <w:tcW w:w="3977" w:type="dxa"/>
            <w:gridSpan w:val="3"/>
            <w:shd w:val="clear" w:color="auto" w:fill="auto"/>
            <w:textDirection w:val="lrTb"/>
            <w:vAlign w:val="bottom"/>
          </w:tcPr>
          <w:p>
            <w:pPr>
              <w:jc w:val="center"/>
              <w:rPr>
                <w:rFonts w:ascii="Times New Roman" w:hAnsi="Times New Roman"/>
                <w:sz w:val="24"/>
                <w:szCs w:val="24"/>
              </w:rPr>
            </w:pPr>
            <w:r>
              <w:rPr>
                <w:rFonts w:ascii="Times New Roman" w:hAnsi="Times New Roman"/>
                <w:sz w:val="24"/>
                <w:szCs w:val="24"/>
              </w:rPr>
              <w:t>Краевая клиническая больница</w:t>
            </w:r>
          </w:p>
        </w:tc>
        <w:tc>
          <w:tcPr>
            <w:tcW w:w="656" w:type="dxa"/>
            <w:shd w:val="clear" w:color="auto" w:fill="auto"/>
            <w:textDirection w:val="lrTb"/>
            <w:vAlign w:val="bottom"/>
          </w:tcPr>
          <w:p>
            <w:pPr>
              <w:jc w:val="left"/>
              <w:rPr>
                <w:rFonts w:ascii="Times New Roman" w:hAnsi="Times New Roman"/>
                <w:sz w:val="24"/>
                <w:szCs w:val="24"/>
              </w:rPr>
            </w:pPr>
            <w:r/>
          </w:p>
        </w:tc>
        <w:tc>
          <w:tcPr>
            <w:tcW w:w="748" w:type="dxa"/>
            <w:shd w:val="clear" w:color="auto" w:fill="auto"/>
            <w:textDirection w:val="lrTb"/>
            <w:vAlign w:val="bottom"/>
          </w:tcPr>
          <w:p>
            <w:pPr>
              <w:jc w:val="left"/>
              <w:rPr>
                <w:rFonts w:ascii="Times New Roman" w:hAnsi="Times New Roman"/>
                <w:sz w:val="24"/>
                <w:szCs w:val="24"/>
              </w:rPr>
            </w:pPr>
            <w:r/>
          </w:p>
        </w:tc>
        <w:tc>
          <w:tcPr>
            <w:tcW w:w="853" w:type="dxa"/>
            <w:shd w:val="clear" w:color="auto" w:fill="auto"/>
            <w:textDirection w:val="lrTb"/>
            <w:vAlign w:val="bottom"/>
          </w:tcPr>
          <w:p>
            <w:pPr>
              <w:jc w:val="left"/>
              <w:rPr>
                <w:rFonts w:ascii="Times New Roman" w:hAnsi="Times New Roman"/>
                <w:sz w:val="24"/>
                <w:szCs w:val="24"/>
              </w:rPr>
            </w:pPr>
            <w:r/>
          </w:p>
        </w:tc>
        <w:tc>
          <w:tcPr>
            <w:tcW w:w="1221" w:type="dxa"/>
            <w:shd w:val="clear" w:color="auto" w:fill="auto"/>
            <w:textDirection w:val="lrTb"/>
            <w:vAlign w:val="bottom"/>
          </w:tcPr>
          <w:p>
            <w:pPr>
              <w:jc w:val="left"/>
              <w:rPr>
                <w:rFonts w:ascii="Times New Roman" w:hAnsi="Times New Roman"/>
                <w:sz w:val="24"/>
                <w:szCs w:val="24"/>
              </w:rPr>
            </w:pPr>
            <w:r/>
          </w:p>
        </w:tc>
        <w:tc>
          <w:tcPr>
            <w:tcW w:w="1168" w:type="dxa"/>
            <w:shd w:val="clear" w:color="auto" w:fill="auto"/>
            <w:textDirection w:val="lrTb"/>
            <w:vAlign w:val="bottom"/>
          </w:tcPr>
          <w:p>
            <w:pPr>
              <w:rPr>
                <w:rFonts w:ascii="Arial" w:hAnsi="Arial"/>
                <w:sz w:val="16"/>
                <w:szCs w:val="16"/>
              </w:rPr>
            </w:pPr>
            <w:r/>
          </w:p>
        </w:tc>
        <w:tc>
          <w:tcPr>
            <w:tcW w:w="971" w:type="dxa"/>
            <w:shd w:val="clear" w:color="auto" w:fill="auto"/>
            <w:textDirection w:val="lrTb"/>
            <w:vAlign w:val="bottom"/>
          </w:tcPr>
          <w:p>
            <w:pPr>
              <w:rPr>
                <w:rFonts w:ascii="Arial" w:hAnsi="Arial"/>
                <w:sz w:val="16"/>
                <w:szCs w:val="16"/>
              </w:rPr>
            </w:pPr>
            <w:r/>
          </w:p>
        </w:tc>
        <w:tc>
          <w:tcPr>
            <w:tcW w:w="1116" w:type="dxa"/>
            <w:shd w:val="clear" w:color="auto" w:fill="auto"/>
            <w:textDirection w:val="lrTb"/>
            <w:vAlign w:val="bottom"/>
          </w:tcPr>
          <w:p>
            <w:pPr>
              <w:rPr>
                <w:rFonts w:ascii="Arial" w:hAnsi="Arial"/>
                <w:sz w:val="16"/>
                <w:szCs w:val="16"/>
              </w:rPr>
            </w:pPr>
            <w:r/>
          </w:p>
        </w:tc>
      </w:tr>
      <w:tr>
        <w:trPr>
          <w:trHeight w:val="315" w:hRule="exact"/>
        </w:trPr>
        <w:tc>
          <w:tcPr>
            <w:tcW w:w="3977" w:type="dxa"/>
            <w:gridSpan w:val="3"/>
            <w:shd w:val="clear" w:color="auto" w:fill="auto"/>
            <w:textDirection w:val="lrTb"/>
            <w:vAlign w:val="bottom"/>
          </w:tcPr>
          <w:p>
            <w:pPr>
              <w:jc w:val="center"/>
              <w:rPr>
                <w:rFonts w:ascii="Times New Roman" w:hAnsi="Times New Roman"/>
                <w:sz w:val="24"/>
                <w:szCs w:val="24"/>
              </w:rPr>
            </w:pPr>
            <w:r>
              <w:rPr>
                <w:rFonts w:ascii="Times New Roman" w:hAnsi="Times New Roman"/>
                <w:sz w:val="24"/>
                <w:szCs w:val="24"/>
              </w:rPr>
              <w:t>ул. П. Железняка, 3, г. Красноярск, 660022</w:t>
            </w:r>
          </w:p>
        </w:tc>
        <w:tc>
          <w:tcPr>
            <w:tcW w:w="656" w:type="dxa"/>
            <w:shd w:val="clear" w:color="auto" w:fill="auto"/>
            <w:textDirection w:val="lrTb"/>
            <w:vAlign w:val="bottom"/>
          </w:tcPr>
          <w:p>
            <w:pPr>
              <w:jc w:val="left"/>
              <w:rPr>
                <w:rFonts w:ascii="Times New Roman" w:hAnsi="Times New Roman"/>
                <w:sz w:val="24"/>
                <w:szCs w:val="24"/>
              </w:rPr>
            </w:pPr>
            <w:r/>
          </w:p>
        </w:tc>
        <w:tc>
          <w:tcPr>
            <w:tcW w:w="748" w:type="dxa"/>
            <w:shd w:val="clear" w:color="auto" w:fill="auto"/>
            <w:textDirection w:val="lrTb"/>
            <w:vAlign w:val="bottom"/>
          </w:tcPr>
          <w:p>
            <w:pPr>
              <w:jc w:val="left"/>
              <w:rPr>
                <w:rFonts w:ascii="Times New Roman" w:hAnsi="Times New Roman"/>
                <w:sz w:val="24"/>
                <w:szCs w:val="24"/>
              </w:rPr>
            </w:pPr>
            <w:r/>
          </w:p>
        </w:tc>
        <w:tc>
          <w:tcPr>
            <w:tcW w:w="853" w:type="dxa"/>
            <w:shd w:val="clear" w:color="auto" w:fill="auto"/>
            <w:textDirection w:val="lrTb"/>
            <w:vAlign w:val="bottom"/>
          </w:tcPr>
          <w:p>
            <w:pPr>
              <w:jc w:val="left"/>
              <w:rPr>
                <w:rFonts w:ascii="Times New Roman" w:hAnsi="Times New Roman"/>
                <w:sz w:val="24"/>
                <w:szCs w:val="24"/>
              </w:rPr>
            </w:pPr>
            <w:r/>
          </w:p>
        </w:tc>
        <w:tc>
          <w:tcPr>
            <w:tcW w:w="1221" w:type="dxa"/>
            <w:shd w:val="clear" w:color="auto" w:fill="auto"/>
            <w:textDirection w:val="lrTb"/>
            <w:vAlign w:val="bottom"/>
          </w:tcPr>
          <w:p>
            <w:pPr>
              <w:jc w:val="left"/>
              <w:rPr>
                <w:rFonts w:ascii="Times New Roman" w:hAnsi="Times New Roman"/>
                <w:sz w:val="24"/>
                <w:szCs w:val="24"/>
              </w:rPr>
            </w:pPr>
            <w:r/>
          </w:p>
        </w:tc>
        <w:tc>
          <w:tcPr>
            <w:tcW w:w="1168" w:type="dxa"/>
            <w:shd w:val="clear" w:color="auto" w:fill="auto"/>
            <w:textDirection w:val="lrTb"/>
            <w:vAlign w:val="bottom"/>
          </w:tcPr>
          <w:p>
            <w:pPr>
              <w:rPr>
                <w:rFonts w:ascii="Arial" w:hAnsi="Arial"/>
                <w:sz w:val="16"/>
                <w:szCs w:val="16"/>
              </w:rPr>
            </w:pPr>
            <w:r/>
          </w:p>
        </w:tc>
        <w:tc>
          <w:tcPr>
            <w:tcW w:w="971" w:type="dxa"/>
            <w:shd w:val="clear" w:color="auto" w:fill="auto"/>
            <w:textDirection w:val="lrTb"/>
            <w:vAlign w:val="bottom"/>
          </w:tcPr>
          <w:p>
            <w:pPr>
              <w:rPr>
                <w:rFonts w:ascii="Arial" w:hAnsi="Arial"/>
                <w:sz w:val="16"/>
                <w:szCs w:val="16"/>
              </w:rPr>
            </w:pPr>
            <w:r/>
          </w:p>
        </w:tc>
        <w:tc>
          <w:tcPr>
            <w:tcW w:w="1116" w:type="dxa"/>
            <w:shd w:val="clear" w:color="auto" w:fill="auto"/>
            <w:textDirection w:val="lrTb"/>
            <w:vAlign w:val="bottom"/>
          </w:tcPr>
          <w:p>
            <w:pPr>
              <w:rPr>
                <w:rFonts w:ascii="Arial" w:hAnsi="Arial"/>
                <w:sz w:val="16"/>
                <w:szCs w:val="16"/>
              </w:rPr>
            </w:pPr>
            <w:r/>
          </w:p>
        </w:tc>
      </w:tr>
      <w:tr>
        <w:trPr>
          <w:trHeight w:val="315" w:hRule="exact"/>
        </w:trPr>
        <w:tc>
          <w:tcPr>
            <w:tcW w:w="3977" w:type="dxa"/>
            <w:gridSpan w:val="3"/>
            <w:shd w:val="clear" w:color="auto" w:fill="auto"/>
            <w:textDirection w:val="lrTb"/>
            <w:vAlign w:val="bottom"/>
          </w:tcPr>
          <w:p>
            <w:pPr>
              <w:jc w:val="center"/>
              <w:rPr>
                <w:rFonts w:ascii="Times New Roman" w:hAnsi="Times New Roman"/>
                <w:sz w:val="24"/>
                <w:szCs w:val="24"/>
              </w:rPr>
            </w:pPr>
            <w:r>
              <w:rPr>
                <w:rFonts w:ascii="Times New Roman" w:hAnsi="Times New Roman"/>
                <w:sz w:val="24"/>
                <w:szCs w:val="24"/>
              </w:rPr>
              <w:t>Телефон: 8 (391) 220-16-13</w:t>
            </w:r>
          </w:p>
        </w:tc>
        <w:tc>
          <w:tcPr>
            <w:tcW w:w="656" w:type="dxa"/>
            <w:shd w:val="clear" w:color="auto" w:fill="auto"/>
            <w:textDirection w:val="lrTb"/>
            <w:vAlign w:val="bottom"/>
          </w:tcPr>
          <w:p>
            <w:pPr>
              <w:jc w:val="left"/>
              <w:rPr>
                <w:rFonts w:ascii="Times New Roman" w:hAnsi="Times New Roman"/>
                <w:sz w:val="24"/>
                <w:szCs w:val="24"/>
              </w:rPr>
            </w:pPr>
            <w:r/>
          </w:p>
        </w:tc>
        <w:tc>
          <w:tcPr>
            <w:tcW w:w="748" w:type="dxa"/>
            <w:shd w:val="clear" w:color="auto" w:fill="auto"/>
            <w:textDirection w:val="lrTb"/>
            <w:vAlign w:val="bottom"/>
          </w:tcPr>
          <w:p>
            <w:pPr>
              <w:jc w:val="left"/>
              <w:rPr>
                <w:rFonts w:ascii="Times New Roman" w:hAnsi="Times New Roman"/>
                <w:sz w:val="24"/>
                <w:szCs w:val="24"/>
              </w:rPr>
            </w:pPr>
            <w:r/>
          </w:p>
        </w:tc>
        <w:tc>
          <w:tcPr>
            <w:tcW w:w="853" w:type="dxa"/>
            <w:shd w:val="clear" w:color="auto" w:fill="auto"/>
            <w:textDirection w:val="lrTb"/>
            <w:vAlign w:val="bottom"/>
          </w:tcPr>
          <w:p>
            <w:pPr>
              <w:jc w:val="left"/>
              <w:rPr>
                <w:rFonts w:ascii="Times New Roman" w:hAnsi="Times New Roman"/>
                <w:sz w:val="24"/>
                <w:szCs w:val="24"/>
              </w:rPr>
            </w:pPr>
            <w:r/>
          </w:p>
        </w:tc>
        <w:tc>
          <w:tcPr>
            <w:tcW w:w="1221" w:type="dxa"/>
            <w:shd w:val="clear" w:color="auto" w:fill="auto"/>
            <w:textDirection w:val="lrTb"/>
            <w:vAlign w:val="bottom"/>
          </w:tcPr>
          <w:p>
            <w:pPr>
              <w:jc w:val="left"/>
              <w:rPr>
                <w:rFonts w:ascii="Times New Roman" w:hAnsi="Times New Roman"/>
                <w:sz w:val="24"/>
                <w:szCs w:val="24"/>
              </w:rPr>
            </w:pPr>
            <w:r/>
          </w:p>
        </w:tc>
        <w:tc>
          <w:tcPr>
            <w:tcW w:w="1168" w:type="dxa"/>
            <w:shd w:val="clear" w:color="auto" w:fill="auto"/>
            <w:textDirection w:val="lrTb"/>
            <w:vAlign w:val="bottom"/>
          </w:tcPr>
          <w:p>
            <w:pPr>
              <w:rPr>
                <w:rFonts w:ascii="Arial" w:hAnsi="Arial"/>
                <w:sz w:val="16"/>
                <w:szCs w:val="16"/>
              </w:rPr>
            </w:pPr>
            <w:r/>
          </w:p>
        </w:tc>
        <w:tc>
          <w:tcPr>
            <w:tcW w:w="971" w:type="dxa"/>
            <w:shd w:val="clear" w:color="auto" w:fill="auto"/>
            <w:textDirection w:val="lrTb"/>
            <w:vAlign w:val="bottom"/>
          </w:tcPr>
          <w:p>
            <w:pPr>
              <w:rPr>
                <w:rFonts w:ascii="Arial" w:hAnsi="Arial"/>
                <w:sz w:val="16"/>
                <w:szCs w:val="16"/>
              </w:rPr>
            </w:pPr>
            <w:r/>
          </w:p>
        </w:tc>
        <w:tc>
          <w:tcPr>
            <w:tcW w:w="1116" w:type="dxa"/>
            <w:shd w:val="clear" w:color="auto" w:fill="auto"/>
            <w:textDirection w:val="lrTb"/>
            <w:vAlign w:val="bottom"/>
          </w:tcPr>
          <w:p>
            <w:pPr>
              <w:rPr>
                <w:rFonts w:ascii="Arial" w:hAnsi="Arial"/>
                <w:sz w:val="16"/>
                <w:szCs w:val="16"/>
              </w:rPr>
            </w:pPr>
            <w:r/>
          </w:p>
        </w:tc>
      </w:tr>
      <w:tr>
        <w:trPr>
          <w:trHeight w:val="315" w:hRule="exact"/>
        </w:trPr>
        <w:tc>
          <w:tcPr>
            <w:tcW w:w="3977" w:type="dxa"/>
            <w:gridSpan w:val="3"/>
            <w:shd w:val="clear" w:color="auto" w:fill="auto"/>
            <w:textDirection w:val="lrTb"/>
            <w:vAlign w:val="bottom"/>
          </w:tcPr>
          <w:p>
            <w:pPr>
              <w:jc w:val="center"/>
              <w:rPr>
                <w:rFonts w:ascii="Times New Roman" w:hAnsi="Times New Roman"/>
                <w:sz w:val="24"/>
                <w:szCs w:val="24"/>
              </w:rPr>
            </w:pPr>
            <w:r>
              <w:rPr>
                <w:rFonts w:ascii="Times New Roman" w:hAnsi="Times New Roman"/>
                <w:sz w:val="24"/>
                <w:szCs w:val="24"/>
              </w:rPr>
              <w:t>Факс: 8 (391) 220-16-23</w:t>
            </w:r>
          </w:p>
        </w:tc>
        <w:tc>
          <w:tcPr>
            <w:tcW w:w="656" w:type="dxa"/>
            <w:shd w:val="clear" w:color="auto" w:fill="auto"/>
            <w:textDirection w:val="lrTb"/>
            <w:vAlign w:val="bottom"/>
          </w:tcPr>
          <w:p>
            <w:pPr>
              <w:jc w:val="left"/>
              <w:rPr>
                <w:rFonts w:ascii="Times New Roman" w:hAnsi="Times New Roman"/>
                <w:sz w:val="24"/>
                <w:szCs w:val="24"/>
              </w:rPr>
            </w:pPr>
            <w:r/>
          </w:p>
        </w:tc>
        <w:tc>
          <w:tcPr>
            <w:tcW w:w="748" w:type="dxa"/>
            <w:shd w:val="clear" w:color="auto" w:fill="auto"/>
            <w:textDirection w:val="lrTb"/>
            <w:vAlign w:val="bottom"/>
          </w:tcPr>
          <w:p>
            <w:pPr>
              <w:jc w:val="left"/>
              <w:rPr>
                <w:rFonts w:ascii="Times New Roman" w:hAnsi="Times New Roman"/>
                <w:sz w:val="24"/>
                <w:szCs w:val="24"/>
              </w:rPr>
            </w:pPr>
            <w:r/>
          </w:p>
        </w:tc>
        <w:tc>
          <w:tcPr>
            <w:tcW w:w="853" w:type="dxa"/>
            <w:shd w:val="clear" w:color="auto" w:fill="auto"/>
            <w:textDirection w:val="lrTb"/>
            <w:vAlign w:val="bottom"/>
          </w:tcPr>
          <w:p>
            <w:pPr>
              <w:jc w:val="left"/>
              <w:rPr>
                <w:rFonts w:ascii="Times New Roman" w:hAnsi="Times New Roman"/>
                <w:sz w:val="24"/>
                <w:szCs w:val="24"/>
              </w:rPr>
            </w:pPr>
            <w:r/>
          </w:p>
        </w:tc>
        <w:tc>
          <w:tcPr>
            <w:tcW w:w="1221" w:type="dxa"/>
            <w:shd w:val="clear" w:color="auto" w:fill="auto"/>
            <w:textDirection w:val="lrTb"/>
            <w:vAlign w:val="bottom"/>
          </w:tcPr>
          <w:p>
            <w:pPr>
              <w:jc w:val="left"/>
              <w:rPr>
                <w:rFonts w:ascii="Times New Roman" w:hAnsi="Times New Roman"/>
                <w:sz w:val="24"/>
                <w:szCs w:val="24"/>
              </w:rPr>
            </w:pPr>
            <w:r/>
          </w:p>
        </w:tc>
        <w:tc>
          <w:tcPr>
            <w:tcW w:w="1168" w:type="dxa"/>
            <w:shd w:val="clear" w:color="auto" w:fill="auto"/>
            <w:textDirection w:val="lrTb"/>
            <w:vAlign w:val="bottom"/>
          </w:tcPr>
          <w:p>
            <w:pPr>
              <w:rPr>
                <w:rFonts w:ascii="Arial" w:hAnsi="Arial"/>
                <w:sz w:val="16"/>
                <w:szCs w:val="16"/>
              </w:rPr>
            </w:pPr>
            <w:r/>
          </w:p>
        </w:tc>
        <w:tc>
          <w:tcPr>
            <w:tcW w:w="971" w:type="dxa"/>
            <w:shd w:val="clear" w:color="auto" w:fill="auto"/>
            <w:textDirection w:val="lrTb"/>
            <w:vAlign w:val="bottom"/>
          </w:tcPr>
          <w:p>
            <w:pPr>
              <w:rPr>
                <w:rFonts w:ascii="Arial" w:hAnsi="Arial"/>
                <w:sz w:val="16"/>
                <w:szCs w:val="16"/>
              </w:rPr>
            </w:pPr>
            <w:r/>
          </w:p>
        </w:tc>
        <w:tc>
          <w:tcPr>
            <w:tcW w:w="1116" w:type="dxa"/>
            <w:shd w:val="clear" w:color="auto" w:fill="auto"/>
            <w:textDirection w:val="lrTb"/>
            <w:vAlign w:val="bottom"/>
          </w:tcPr>
          <w:p>
            <w:pPr>
              <w:rPr>
                <w:rFonts w:ascii="Arial" w:hAnsi="Arial"/>
                <w:sz w:val="16"/>
                <w:szCs w:val="16"/>
              </w:rPr>
            </w:pPr>
            <w:r/>
          </w:p>
        </w:tc>
      </w:tr>
      <w:tr>
        <w:trPr>
          <w:trHeight w:val="315" w:hRule="exact"/>
        </w:trPr>
        <w:tc>
          <w:tcPr>
            <w:tcW w:w="3977" w:type="dxa"/>
            <w:gridSpan w:val="3"/>
            <w:shd w:val="clear" w:color="auto" w:fill="auto"/>
            <w:textDirection w:val="lrTb"/>
            <w:vAlign w:val="bottom"/>
          </w:tcPr>
          <w:p>
            <w:pPr>
              <w:jc w:val="center"/>
              <w:rPr>
                <w:rFonts w:ascii="Times New Roman" w:hAnsi="Times New Roman"/>
                <w:sz w:val="24"/>
                <w:szCs w:val="24"/>
              </w:rPr>
            </w:pPr>
            <w:r>
              <w:rPr>
                <w:rFonts w:ascii="Times New Roman" w:hAnsi="Times New Roman"/>
                <w:sz w:val="24"/>
                <w:szCs w:val="24"/>
              </w:rPr>
              <w:t>Е-mail: kkb@ medqorod. ru</w:t>
            </w:r>
          </w:p>
        </w:tc>
        <w:tc>
          <w:tcPr>
            <w:tcW w:w="656" w:type="dxa"/>
            <w:shd w:val="clear" w:color="auto" w:fill="auto"/>
            <w:textDirection w:val="lrTb"/>
            <w:vAlign w:val="bottom"/>
          </w:tcPr>
          <w:p>
            <w:pPr>
              <w:jc w:val="left"/>
              <w:rPr>
                <w:rFonts w:ascii="Times New Roman" w:hAnsi="Times New Roman"/>
                <w:sz w:val="24"/>
                <w:szCs w:val="24"/>
              </w:rPr>
            </w:pPr>
            <w:r/>
          </w:p>
        </w:tc>
        <w:tc>
          <w:tcPr>
            <w:tcW w:w="748" w:type="dxa"/>
            <w:shd w:val="clear" w:color="auto" w:fill="auto"/>
            <w:textDirection w:val="lrTb"/>
            <w:vAlign w:val="bottom"/>
          </w:tcPr>
          <w:p>
            <w:pPr>
              <w:jc w:val="left"/>
              <w:rPr>
                <w:rFonts w:ascii="Times New Roman" w:hAnsi="Times New Roman"/>
                <w:sz w:val="24"/>
                <w:szCs w:val="24"/>
              </w:rPr>
            </w:pPr>
            <w:r/>
          </w:p>
        </w:tc>
        <w:tc>
          <w:tcPr>
            <w:tcW w:w="853" w:type="dxa"/>
            <w:shd w:val="clear" w:color="auto" w:fill="auto"/>
            <w:textDirection w:val="lrTb"/>
            <w:vAlign w:val="bottom"/>
          </w:tcPr>
          <w:p>
            <w:pPr>
              <w:jc w:val="left"/>
              <w:rPr>
                <w:rFonts w:ascii="Times New Roman" w:hAnsi="Times New Roman"/>
                <w:sz w:val="24"/>
                <w:szCs w:val="24"/>
              </w:rPr>
            </w:pPr>
            <w:r/>
          </w:p>
        </w:tc>
        <w:tc>
          <w:tcPr>
            <w:tcW w:w="1221" w:type="dxa"/>
            <w:shd w:val="clear" w:color="auto" w:fill="auto"/>
            <w:textDirection w:val="lrTb"/>
            <w:vAlign w:val="bottom"/>
          </w:tcPr>
          <w:p>
            <w:pPr>
              <w:jc w:val="left"/>
              <w:rPr>
                <w:rFonts w:ascii="Times New Roman" w:hAnsi="Times New Roman"/>
                <w:sz w:val="24"/>
                <w:szCs w:val="24"/>
              </w:rPr>
            </w:pPr>
            <w:r/>
          </w:p>
        </w:tc>
        <w:tc>
          <w:tcPr>
            <w:tcW w:w="1168" w:type="dxa"/>
            <w:shd w:val="clear" w:color="auto" w:fill="auto"/>
            <w:textDirection w:val="lrTb"/>
            <w:vAlign w:val="bottom"/>
          </w:tcPr>
          <w:p>
            <w:pPr>
              <w:rPr>
                <w:rFonts w:ascii="Arial" w:hAnsi="Arial"/>
                <w:sz w:val="16"/>
                <w:szCs w:val="16"/>
              </w:rPr>
            </w:pPr>
            <w:r/>
          </w:p>
        </w:tc>
        <w:tc>
          <w:tcPr>
            <w:tcW w:w="971" w:type="dxa"/>
            <w:shd w:val="clear" w:color="auto" w:fill="auto"/>
            <w:textDirection w:val="lrTb"/>
            <w:vAlign w:val="bottom"/>
          </w:tcPr>
          <w:p>
            <w:pPr>
              <w:rPr>
                <w:rFonts w:ascii="Arial" w:hAnsi="Arial"/>
                <w:sz w:val="16"/>
                <w:szCs w:val="16"/>
              </w:rPr>
            </w:pPr>
            <w:r/>
          </w:p>
        </w:tc>
        <w:tc>
          <w:tcPr>
            <w:tcW w:w="1116" w:type="dxa"/>
            <w:shd w:val="clear" w:color="auto" w:fill="auto"/>
            <w:textDirection w:val="lrTb"/>
            <w:vAlign w:val="bottom"/>
          </w:tcPr>
          <w:p>
            <w:pPr>
              <w:rPr>
                <w:rFonts w:ascii="Arial" w:hAnsi="Arial"/>
                <w:sz w:val="16"/>
                <w:szCs w:val="16"/>
              </w:rPr>
            </w:pPr>
            <w:r/>
          </w:p>
        </w:tc>
      </w:tr>
      <w:tr>
        <w:trPr>
          <w:trHeight w:val="315" w:hRule="exact"/>
        </w:trPr>
        <w:tc>
          <w:tcPr>
            <w:tcW w:w="3977" w:type="dxa"/>
            <w:gridSpan w:val="3"/>
            <w:shd w:val="clear" w:color="auto" w:fill="auto"/>
            <w:textDirection w:val="lrTb"/>
            <w:vAlign w:val="bottom"/>
          </w:tcPr>
          <w:p>
            <w:pPr>
              <w:jc w:val="center"/>
              <w:rPr>
                <w:rFonts w:ascii="Times New Roman" w:hAnsi="Times New Roman"/>
                <w:sz w:val="24"/>
                <w:szCs w:val="24"/>
              </w:rPr>
            </w:pPr>
            <w:r>
              <w:rPr>
                <w:rFonts w:ascii="Times New Roman" w:hAnsi="Times New Roman"/>
                <w:sz w:val="24"/>
                <w:szCs w:val="24"/>
              </w:rPr>
              <w:t>Http://www.medgorod.ru</w:t>
            </w:r>
          </w:p>
        </w:tc>
        <w:tc>
          <w:tcPr>
            <w:tcW w:w="656" w:type="dxa"/>
            <w:shd w:val="clear" w:color="auto" w:fill="auto"/>
            <w:textDirection w:val="lrTb"/>
            <w:vAlign w:val="bottom"/>
          </w:tcPr>
          <w:p>
            <w:pPr>
              <w:jc w:val="left"/>
              <w:rPr>
                <w:rFonts w:ascii="Times New Roman" w:hAnsi="Times New Roman"/>
                <w:sz w:val="24"/>
                <w:szCs w:val="24"/>
              </w:rPr>
            </w:pPr>
            <w:r/>
          </w:p>
        </w:tc>
        <w:tc>
          <w:tcPr>
            <w:tcW w:w="748" w:type="dxa"/>
            <w:shd w:val="clear" w:color="auto" w:fill="auto"/>
            <w:textDirection w:val="lrTb"/>
            <w:vAlign w:val="bottom"/>
          </w:tcPr>
          <w:p>
            <w:pPr>
              <w:jc w:val="left"/>
              <w:rPr>
                <w:rFonts w:ascii="Times New Roman" w:hAnsi="Times New Roman"/>
                <w:sz w:val="24"/>
                <w:szCs w:val="24"/>
              </w:rPr>
            </w:pPr>
            <w:r/>
          </w:p>
        </w:tc>
        <w:tc>
          <w:tcPr>
            <w:tcW w:w="853" w:type="dxa"/>
            <w:shd w:val="clear" w:color="auto" w:fill="auto"/>
            <w:textDirection w:val="lrTb"/>
            <w:vAlign w:val="bottom"/>
          </w:tcPr>
          <w:p>
            <w:pPr>
              <w:jc w:val="left"/>
              <w:rPr>
                <w:rFonts w:ascii="Times New Roman" w:hAnsi="Times New Roman"/>
                <w:sz w:val="24"/>
                <w:szCs w:val="24"/>
              </w:rPr>
            </w:pPr>
            <w:r/>
          </w:p>
        </w:tc>
        <w:tc>
          <w:tcPr>
            <w:tcW w:w="1221" w:type="dxa"/>
            <w:shd w:val="clear" w:color="auto" w:fill="auto"/>
            <w:textDirection w:val="lrTb"/>
            <w:vAlign w:val="bottom"/>
          </w:tcPr>
          <w:p>
            <w:pPr>
              <w:jc w:val="left"/>
              <w:rPr>
                <w:rFonts w:ascii="Times New Roman" w:hAnsi="Times New Roman"/>
                <w:sz w:val="24"/>
                <w:szCs w:val="24"/>
              </w:rPr>
            </w:pPr>
            <w:r/>
          </w:p>
        </w:tc>
        <w:tc>
          <w:tcPr>
            <w:tcW w:w="1168" w:type="dxa"/>
            <w:shd w:val="clear" w:color="auto" w:fill="auto"/>
            <w:textDirection w:val="lrTb"/>
            <w:vAlign w:val="bottom"/>
          </w:tcPr>
          <w:p>
            <w:pPr>
              <w:rPr>
                <w:rFonts w:ascii="Arial" w:hAnsi="Arial"/>
                <w:sz w:val="16"/>
                <w:szCs w:val="16"/>
              </w:rPr>
            </w:pPr>
            <w:r/>
          </w:p>
        </w:tc>
        <w:tc>
          <w:tcPr>
            <w:tcW w:w="971" w:type="dxa"/>
            <w:shd w:val="clear" w:color="auto" w:fill="auto"/>
            <w:textDirection w:val="lrTb"/>
            <w:vAlign w:val="bottom"/>
          </w:tcPr>
          <w:p>
            <w:pPr>
              <w:rPr>
                <w:rFonts w:ascii="Arial" w:hAnsi="Arial"/>
                <w:sz w:val="16"/>
                <w:szCs w:val="16"/>
              </w:rPr>
            </w:pPr>
            <w:r/>
          </w:p>
        </w:tc>
        <w:tc>
          <w:tcPr>
            <w:tcW w:w="1116" w:type="dxa"/>
            <w:shd w:val="clear" w:color="auto" w:fill="auto"/>
            <w:textDirection w:val="lrTb"/>
            <w:vAlign w:val="bottom"/>
          </w:tcPr>
          <w:p>
            <w:pPr>
              <w:rPr>
                <w:rFonts w:ascii="Arial" w:hAnsi="Arial"/>
                <w:sz w:val="16"/>
                <w:szCs w:val="16"/>
              </w:rPr>
            </w:pPr>
            <w:r/>
          </w:p>
        </w:tc>
      </w:tr>
      <w:tr>
        <w:trPr>
          <w:trHeight w:val="315" w:hRule="exact"/>
        </w:trPr>
        <w:tc>
          <w:tcPr>
            <w:tcW w:w="3977" w:type="dxa"/>
            <w:gridSpan w:val="3"/>
            <w:shd w:val="clear" w:color="auto" w:fill="auto"/>
            <w:textDirection w:val="lrTb"/>
            <w:vAlign w:val="bottom"/>
          </w:tcPr>
          <w:p>
            <w:pPr>
              <w:jc w:val="center"/>
              <w:rPr>
                <w:rFonts w:ascii="Times New Roman" w:hAnsi="Times New Roman"/>
                <w:sz w:val="24"/>
                <w:szCs w:val="24"/>
              </w:rPr>
            </w:pPr>
            <w:r>
              <w:rPr>
                <w:rFonts w:ascii="Times New Roman" w:hAnsi="Times New Roman"/>
                <w:sz w:val="24"/>
                <w:szCs w:val="24"/>
              </w:rPr>
              <w:t>ОКПО 01913234</w:t>
            </w:r>
          </w:p>
        </w:tc>
        <w:tc>
          <w:tcPr>
            <w:tcW w:w="656" w:type="dxa"/>
            <w:shd w:val="clear" w:color="auto" w:fill="auto"/>
            <w:textDirection w:val="lrTb"/>
            <w:vAlign w:val="bottom"/>
          </w:tcPr>
          <w:p>
            <w:pPr>
              <w:jc w:val="left"/>
              <w:rPr>
                <w:rFonts w:ascii="Times New Roman" w:hAnsi="Times New Roman"/>
                <w:sz w:val="24"/>
                <w:szCs w:val="24"/>
              </w:rPr>
            </w:pPr>
            <w:r/>
          </w:p>
        </w:tc>
        <w:tc>
          <w:tcPr>
            <w:tcW w:w="748" w:type="dxa"/>
            <w:shd w:val="clear" w:color="auto" w:fill="auto"/>
            <w:textDirection w:val="lrTb"/>
            <w:vAlign w:val="bottom"/>
          </w:tcPr>
          <w:p>
            <w:pPr>
              <w:jc w:val="left"/>
              <w:rPr>
                <w:rFonts w:ascii="Times New Roman" w:hAnsi="Times New Roman"/>
                <w:sz w:val="24"/>
                <w:szCs w:val="24"/>
              </w:rPr>
            </w:pPr>
            <w:r/>
          </w:p>
        </w:tc>
        <w:tc>
          <w:tcPr>
            <w:tcW w:w="853" w:type="dxa"/>
            <w:shd w:val="clear" w:color="auto" w:fill="auto"/>
            <w:textDirection w:val="lrTb"/>
            <w:vAlign w:val="bottom"/>
          </w:tcPr>
          <w:p>
            <w:pPr>
              <w:jc w:val="left"/>
              <w:rPr>
                <w:rFonts w:ascii="Times New Roman" w:hAnsi="Times New Roman"/>
                <w:sz w:val="24"/>
                <w:szCs w:val="24"/>
              </w:rPr>
            </w:pPr>
            <w:r/>
          </w:p>
        </w:tc>
        <w:tc>
          <w:tcPr>
            <w:tcW w:w="1221" w:type="dxa"/>
            <w:shd w:val="clear" w:color="auto" w:fill="auto"/>
            <w:textDirection w:val="lrTb"/>
            <w:vAlign w:val="bottom"/>
          </w:tcPr>
          <w:p>
            <w:pPr>
              <w:jc w:val="left"/>
              <w:rPr>
                <w:rFonts w:ascii="Times New Roman" w:hAnsi="Times New Roman"/>
                <w:sz w:val="24"/>
                <w:szCs w:val="24"/>
              </w:rPr>
            </w:pPr>
            <w:r/>
          </w:p>
        </w:tc>
        <w:tc>
          <w:tcPr>
            <w:tcW w:w="1168" w:type="dxa"/>
            <w:shd w:val="clear" w:color="auto" w:fill="auto"/>
            <w:textDirection w:val="lrTb"/>
            <w:vAlign w:val="bottom"/>
          </w:tcPr>
          <w:p>
            <w:pPr>
              <w:rPr>
                <w:rFonts w:ascii="Arial" w:hAnsi="Arial"/>
                <w:sz w:val="16"/>
                <w:szCs w:val="16"/>
              </w:rPr>
            </w:pPr>
            <w:r/>
          </w:p>
        </w:tc>
        <w:tc>
          <w:tcPr>
            <w:tcW w:w="971" w:type="dxa"/>
            <w:shd w:val="clear" w:color="auto" w:fill="auto"/>
            <w:textDirection w:val="lrTb"/>
            <w:vAlign w:val="bottom"/>
          </w:tcPr>
          <w:p>
            <w:pPr>
              <w:rPr>
                <w:rFonts w:ascii="Arial" w:hAnsi="Arial"/>
                <w:sz w:val="16"/>
                <w:szCs w:val="16"/>
              </w:rPr>
            </w:pPr>
            <w:r/>
          </w:p>
        </w:tc>
        <w:tc>
          <w:tcPr>
            <w:tcW w:w="1116" w:type="dxa"/>
            <w:shd w:val="clear" w:color="auto" w:fill="auto"/>
            <w:textDirection w:val="lrTb"/>
            <w:vAlign w:val="bottom"/>
          </w:tcPr>
          <w:p>
            <w:pPr>
              <w:rPr>
                <w:rFonts w:ascii="Arial" w:hAnsi="Arial"/>
                <w:sz w:val="16"/>
                <w:szCs w:val="16"/>
              </w:rPr>
            </w:pPr>
            <w:r/>
          </w:p>
        </w:tc>
      </w:tr>
      <w:tr>
        <w:trPr>
          <w:trHeight w:val="315" w:hRule="exact"/>
        </w:trPr>
        <w:tc>
          <w:tcPr>
            <w:tcW w:w="3977" w:type="dxa"/>
            <w:gridSpan w:val="3"/>
            <w:shd w:val="clear" w:color="auto" w:fill="auto"/>
            <w:textDirection w:val="lrTb"/>
            <w:vAlign w:val="bottom"/>
          </w:tcPr>
          <w:p>
            <w:pPr>
              <w:jc w:val="center"/>
              <w:rPr>
                <w:rFonts w:ascii="Times New Roman" w:hAnsi="Times New Roman"/>
                <w:sz w:val="24"/>
                <w:szCs w:val="24"/>
              </w:rPr>
            </w:pPr>
            <w:r>
              <w:rPr>
                <w:rFonts w:ascii="Times New Roman" w:hAnsi="Times New Roman"/>
                <w:sz w:val="24"/>
                <w:szCs w:val="24"/>
              </w:rPr>
              <w:t>ИНН/КПП 2465030876/246501001</w:t>
            </w:r>
          </w:p>
        </w:tc>
        <w:tc>
          <w:tcPr>
            <w:tcW w:w="656" w:type="dxa"/>
            <w:shd w:val="clear" w:color="auto" w:fill="auto"/>
            <w:textDirection w:val="lrTb"/>
            <w:vAlign w:val="bottom"/>
          </w:tcPr>
          <w:p>
            <w:pPr>
              <w:jc w:val="left"/>
              <w:rPr>
                <w:rFonts w:ascii="Times New Roman" w:hAnsi="Times New Roman"/>
                <w:sz w:val="24"/>
                <w:szCs w:val="24"/>
              </w:rPr>
            </w:pPr>
            <w:r/>
          </w:p>
        </w:tc>
        <w:tc>
          <w:tcPr>
            <w:tcW w:w="748" w:type="dxa"/>
            <w:shd w:val="clear" w:color="auto" w:fill="auto"/>
            <w:textDirection w:val="lrTb"/>
            <w:vAlign w:val="bottom"/>
          </w:tcPr>
          <w:p>
            <w:pPr>
              <w:jc w:val="left"/>
              <w:rPr>
                <w:rFonts w:ascii="Times New Roman" w:hAnsi="Times New Roman"/>
                <w:sz w:val="24"/>
                <w:szCs w:val="24"/>
              </w:rPr>
            </w:pPr>
            <w:r/>
          </w:p>
        </w:tc>
        <w:tc>
          <w:tcPr>
            <w:tcW w:w="853" w:type="dxa"/>
            <w:shd w:val="clear" w:color="auto" w:fill="auto"/>
            <w:textDirection w:val="lrTb"/>
            <w:vAlign w:val="bottom"/>
          </w:tcPr>
          <w:p>
            <w:pPr>
              <w:jc w:val="left"/>
              <w:rPr>
                <w:rFonts w:ascii="Times New Roman" w:hAnsi="Times New Roman"/>
                <w:sz w:val="24"/>
                <w:szCs w:val="24"/>
              </w:rPr>
            </w:pPr>
            <w:r/>
          </w:p>
        </w:tc>
        <w:tc>
          <w:tcPr>
            <w:tcW w:w="1221" w:type="dxa"/>
            <w:shd w:val="clear" w:color="auto" w:fill="auto"/>
            <w:textDirection w:val="lrTb"/>
            <w:vAlign w:val="bottom"/>
          </w:tcPr>
          <w:p>
            <w:pPr>
              <w:jc w:val="left"/>
              <w:rPr>
                <w:rFonts w:ascii="Times New Roman" w:hAnsi="Times New Roman"/>
                <w:sz w:val="24"/>
                <w:szCs w:val="24"/>
              </w:rPr>
            </w:pPr>
            <w:r/>
          </w:p>
        </w:tc>
        <w:tc>
          <w:tcPr>
            <w:tcW w:w="1168" w:type="dxa"/>
            <w:shd w:val="clear" w:color="auto" w:fill="auto"/>
            <w:textDirection w:val="lrTb"/>
            <w:vAlign w:val="bottom"/>
          </w:tcPr>
          <w:p>
            <w:pPr>
              <w:rPr>
                <w:rFonts w:ascii="Arial" w:hAnsi="Arial"/>
                <w:sz w:val="16"/>
                <w:szCs w:val="16"/>
              </w:rPr>
            </w:pPr>
            <w:r/>
          </w:p>
        </w:tc>
        <w:tc>
          <w:tcPr>
            <w:tcW w:w="971" w:type="dxa"/>
            <w:shd w:val="clear" w:color="auto" w:fill="auto"/>
            <w:textDirection w:val="lrTb"/>
            <w:vAlign w:val="bottom"/>
          </w:tcPr>
          <w:p>
            <w:pPr>
              <w:rPr>
                <w:rFonts w:ascii="Arial" w:hAnsi="Arial"/>
                <w:sz w:val="16"/>
                <w:szCs w:val="16"/>
              </w:rPr>
            </w:pPr>
            <w:r/>
          </w:p>
        </w:tc>
        <w:tc>
          <w:tcPr>
            <w:tcW w:w="1116" w:type="dxa"/>
            <w:shd w:val="clear" w:color="auto" w:fill="auto"/>
            <w:textDirection w:val="lrTb"/>
            <w:vAlign w:val="bottom"/>
          </w:tcPr>
          <w:p>
            <w:pPr>
              <w:rPr>
                <w:rFonts w:ascii="Arial" w:hAnsi="Arial"/>
                <w:sz w:val="16"/>
                <w:szCs w:val="16"/>
              </w:rPr>
            </w:pPr>
            <w:r/>
          </w:p>
        </w:tc>
      </w:tr>
      <w:tr>
        <w:trPr>
          <w:trHeight w:val="315" w:hRule="exact"/>
        </w:trPr>
        <w:tc>
          <w:tcPr>
            <w:tcW w:w="3977" w:type="dxa"/>
            <w:gridSpan w:val="3"/>
            <w:shd w:val="clear" w:color="auto" w:fill="auto"/>
            <w:textDirection w:val="lrTb"/>
            <w:vAlign w:val="bottom"/>
          </w:tcPr>
          <w:p>
            <w:pPr>
              <w:jc w:val="center"/>
              <w:rPr>
                <w:rFonts w:ascii="Times New Roman" w:hAnsi="Times New Roman"/>
                <w:sz w:val="24"/>
                <w:szCs w:val="24"/>
              </w:rPr>
            </w:pPr>
            <w:r>
              <w:rPr>
                <w:rFonts w:ascii="Times New Roman" w:hAnsi="Times New Roman"/>
                <w:sz w:val="24"/>
                <w:szCs w:val="24"/>
              </w:rPr>
              <w:t>24.03.2022 г. №.493-2022</w:t>
            </w:r>
          </w:p>
        </w:tc>
        <w:tc>
          <w:tcPr>
            <w:tcW w:w="656" w:type="dxa"/>
            <w:shd w:val="clear" w:color="auto" w:fill="auto"/>
            <w:textDirection w:val="lrTb"/>
            <w:vAlign w:val="bottom"/>
          </w:tcPr>
          <w:p>
            <w:pPr>
              <w:jc w:val="left"/>
              <w:rPr>
                <w:rFonts w:ascii="Times New Roman" w:hAnsi="Times New Roman"/>
                <w:sz w:val="24"/>
                <w:szCs w:val="24"/>
              </w:rPr>
            </w:pPr>
            <w:r/>
          </w:p>
        </w:tc>
        <w:tc>
          <w:tcPr>
            <w:tcW w:w="748" w:type="dxa"/>
            <w:shd w:val="clear" w:color="auto" w:fill="auto"/>
            <w:textDirection w:val="lrTb"/>
            <w:vAlign w:val="bottom"/>
          </w:tcPr>
          <w:p>
            <w:pPr>
              <w:jc w:val="left"/>
              <w:rPr>
                <w:rFonts w:ascii="Times New Roman" w:hAnsi="Times New Roman"/>
                <w:sz w:val="24"/>
                <w:szCs w:val="24"/>
              </w:rPr>
            </w:pPr>
            <w:r/>
          </w:p>
        </w:tc>
        <w:tc>
          <w:tcPr>
            <w:tcW w:w="853" w:type="dxa"/>
            <w:shd w:val="clear" w:color="auto" w:fill="auto"/>
            <w:textDirection w:val="lrTb"/>
            <w:vAlign w:val="bottom"/>
          </w:tcPr>
          <w:p>
            <w:pPr>
              <w:jc w:val="left"/>
              <w:rPr>
                <w:rFonts w:ascii="Times New Roman" w:hAnsi="Times New Roman"/>
                <w:sz w:val="24"/>
                <w:szCs w:val="24"/>
              </w:rPr>
            </w:pPr>
            <w:r/>
          </w:p>
        </w:tc>
        <w:tc>
          <w:tcPr>
            <w:tcW w:w="1221" w:type="dxa"/>
            <w:shd w:val="clear" w:color="auto" w:fill="auto"/>
            <w:textDirection w:val="lrTb"/>
            <w:vAlign w:val="bottom"/>
          </w:tcPr>
          <w:p>
            <w:pPr>
              <w:jc w:val="left"/>
              <w:rPr>
                <w:rFonts w:ascii="Times New Roman" w:hAnsi="Times New Roman"/>
                <w:sz w:val="24"/>
                <w:szCs w:val="24"/>
              </w:rPr>
            </w:pPr>
            <w:r/>
          </w:p>
        </w:tc>
        <w:tc>
          <w:tcPr>
            <w:tcW w:w="1168" w:type="dxa"/>
            <w:shd w:val="clear" w:color="auto" w:fill="auto"/>
            <w:textDirection w:val="lrTb"/>
            <w:vAlign w:val="bottom"/>
          </w:tcPr>
          <w:p>
            <w:pPr>
              <w:rPr>
                <w:rFonts w:ascii="Arial" w:hAnsi="Arial"/>
                <w:sz w:val="16"/>
                <w:szCs w:val="16"/>
              </w:rPr>
            </w:pPr>
            <w:r/>
          </w:p>
        </w:tc>
        <w:tc>
          <w:tcPr>
            <w:tcW w:w="971" w:type="dxa"/>
            <w:shd w:val="clear" w:color="auto" w:fill="auto"/>
            <w:textDirection w:val="lrTb"/>
            <w:vAlign w:val="bottom"/>
          </w:tcPr>
          <w:p>
            <w:pPr>
              <w:rPr>
                <w:rFonts w:ascii="Arial" w:hAnsi="Arial"/>
                <w:sz w:val="16"/>
                <w:szCs w:val="16"/>
              </w:rPr>
            </w:pPr>
            <w:r/>
          </w:p>
        </w:tc>
        <w:tc>
          <w:tcPr>
            <w:tcW w:w="1116" w:type="dxa"/>
            <w:shd w:val="clear" w:color="auto" w:fill="auto"/>
            <w:textDirection w:val="lrTb"/>
            <w:vAlign w:val="bottom"/>
          </w:tcPr>
          <w:p>
            <w:pPr>
              <w:rPr>
                <w:rFonts w:ascii="Arial" w:hAnsi="Arial"/>
                <w:sz w:val="16"/>
                <w:szCs w:val="16"/>
              </w:rPr>
            </w:pPr>
            <w:r/>
          </w:p>
        </w:tc>
      </w:tr>
      <w:tr>
        <w:trPr>
          <w:trHeight w:val="315" w:hRule="exact"/>
        </w:trPr>
        <w:tc>
          <w:tcPr>
            <w:tcW w:w="3977" w:type="dxa"/>
            <w:gridSpan w:val="3"/>
            <w:shd w:val="clear" w:color="auto" w:fill="auto"/>
            <w:textDirection w:val="lrTb"/>
            <w:vAlign w:val="bottom"/>
          </w:tcPr>
          <w:p>
            <w:pPr>
              <w:jc w:val="center"/>
              <w:rPr>
                <w:rFonts w:ascii="Times New Roman" w:hAnsi="Times New Roman"/>
                <w:sz w:val="24"/>
                <w:szCs w:val="24"/>
              </w:rPr>
            </w:pPr>
            <w:r>
              <w:rPr>
                <w:rFonts w:ascii="Times New Roman" w:hAnsi="Times New Roman"/>
                <w:sz w:val="24"/>
                <w:szCs w:val="24"/>
              </w:rPr>
              <w:t>На №_________ от ________________</w:t>
            </w:r>
          </w:p>
        </w:tc>
        <w:tc>
          <w:tcPr>
            <w:tcW w:w="656" w:type="dxa"/>
            <w:shd w:val="clear" w:color="auto" w:fill="auto"/>
            <w:textDirection w:val="lrTb"/>
            <w:vAlign w:val="bottom"/>
          </w:tcPr>
          <w:p>
            <w:pPr>
              <w:jc w:val="left"/>
              <w:rPr>
                <w:rFonts w:ascii="Times New Roman" w:hAnsi="Times New Roman"/>
                <w:sz w:val="24"/>
                <w:szCs w:val="24"/>
              </w:rPr>
            </w:pPr>
            <w:r/>
          </w:p>
        </w:tc>
        <w:tc>
          <w:tcPr>
            <w:tcW w:w="748" w:type="dxa"/>
            <w:shd w:val="clear" w:color="auto" w:fill="auto"/>
            <w:textDirection w:val="lrTb"/>
            <w:vAlign w:val="bottom"/>
          </w:tcPr>
          <w:p>
            <w:pPr>
              <w:jc w:val="left"/>
              <w:rPr>
                <w:rFonts w:ascii="Times New Roman" w:hAnsi="Times New Roman"/>
                <w:sz w:val="24"/>
                <w:szCs w:val="24"/>
              </w:rPr>
            </w:pPr>
            <w:r/>
          </w:p>
        </w:tc>
        <w:tc>
          <w:tcPr>
            <w:tcW w:w="853" w:type="dxa"/>
            <w:shd w:val="clear" w:color="auto" w:fill="auto"/>
            <w:textDirection w:val="lrTb"/>
            <w:vAlign w:val="bottom"/>
          </w:tcPr>
          <w:p>
            <w:pPr>
              <w:jc w:val="left"/>
              <w:rPr>
                <w:rFonts w:ascii="Times New Roman" w:hAnsi="Times New Roman"/>
                <w:sz w:val="24"/>
                <w:szCs w:val="24"/>
              </w:rPr>
            </w:pPr>
            <w:r/>
          </w:p>
        </w:tc>
        <w:tc>
          <w:tcPr>
            <w:tcW w:w="1221" w:type="dxa"/>
            <w:shd w:val="clear" w:color="auto" w:fill="auto"/>
            <w:textDirection w:val="lrTb"/>
            <w:vAlign w:val="bottom"/>
          </w:tcPr>
          <w:p>
            <w:pPr>
              <w:jc w:val="left"/>
              <w:rPr>
                <w:rFonts w:ascii="Times New Roman" w:hAnsi="Times New Roman"/>
                <w:sz w:val="24"/>
                <w:szCs w:val="24"/>
              </w:rPr>
            </w:pPr>
            <w:r/>
          </w:p>
        </w:tc>
        <w:tc>
          <w:tcPr>
            <w:tcW w:w="1168" w:type="dxa"/>
            <w:shd w:val="clear" w:color="auto" w:fill="auto"/>
            <w:textDirection w:val="lrTb"/>
            <w:vAlign w:val="bottom"/>
          </w:tcPr>
          <w:p>
            <w:pPr>
              <w:rPr>
                <w:rFonts w:ascii="Arial" w:hAnsi="Arial"/>
                <w:sz w:val="16"/>
                <w:szCs w:val="16"/>
              </w:rPr>
            </w:pPr>
            <w:r/>
          </w:p>
        </w:tc>
        <w:tc>
          <w:tcPr>
            <w:tcW w:w="971" w:type="dxa"/>
            <w:shd w:val="clear" w:color="auto" w:fill="auto"/>
            <w:textDirection w:val="lrTb"/>
            <w:vAlign w:val="bottom"/>
          </w:tcPr>
          <w:p>
            <w:pPr>
              <w:rPr>
                <w:rFonts w:ascii="Arial" w:hAnsi="Arial"/>
                <w:sz w:val="16"/>
                <w:szCs w:val="16"/>
              </w:rPr>
            </w:pPr>
            <w:r/>
          </w:p>
        </w:tc>
        <w:tc>
          <w:tcPr>
            <w:tcW w:w="1116" w:type="dxa"/>
            <w:shd w:val="clear" w:color="auto" w:fill="auto"/>
            <w:textDirection w:val="lrTb"/>
            <w:vAlign w:val="bottom"/>
          </w:tcPr>
          <w:p>
            <w:pPr>
              <w:rPr>
                <w:rFonts w:ascii="Arial" w:hAnsi="Arial"/>
                <w:sz w:val="16"/>
                <w:szCs w:val="16"/>
              </w:rPr>
            </w:pPr>
            <w:r/>
          </w:p>
        </w:tc>
      </w:tr>
      <w:tr>
        <w:trPr>
          <w:trHeight w:val="315" w:hRule="exact"/>
        </w:trPr>
        <w:tc>
          <w:tcPr>
            <w:tcW w:w="551" w:type="dxa"/>
            <w:shd w:val="clear" w:color="auto" w:fill="auto"/>
            <w:textDirection w:val="lrTb"/>
            <w:vAlign w:val="bottom"/>
          </w:tcPr>
          <w:p>
            <w:pPr>
              <w:jc w:val="left"/>
              <w:rPr>
                <w:rFonts w:ascii="Times New Roman" w:hAnsi="Times New Roman"/>
                <w:sz w:val="24"/>
                <w:szCs w:val="24"/>
              </w:rPr>
            </w:pPr>
            <w:r/>
          </w:p>
        </w:tc>
        <w:tc>
          <w:tcPr>
            <w:tcW w:w="1483" w:type="dxa"/>
            <w:shd w:val="clear" w:color="auto" w:fill="auto"/>
            <w:textDirection w:val="lrTb"/>
            <w:vAlign w:val="bottom"/>
          </w:tcPr>
          <w:p>
            <w:pPr>
              <w:jc w:val="left"/>
              <w:rPr>
                <w:rFonts w:ascii="Times New Roman" w:hAnsi="Times New Roman"/>
                <w:sz w:val="24"/>
                <w:szCs w:val="24"/>
              </w:rPr>
            </w:pPr>
            <w:r/>
          </w:p>
        </w:tc>
        <w:tc>
          <w:tcPr>
            <w:tcW w:w="1943" w:type="dxa"/>
            <w:shd w:val="clear" w:color="auto" w:fill="auto"/>
            <w:textDirection w:val="lrTb"/>
            <w:vAlign w:val="bottom"/>
          </w:tcPr>
          <w:p>
            <w:pPr>
              <w:jc w:val="left"/>
              <w:rPr>
                <w:rFonts w:ascii="Times New Roman" w:hAnsi="Times New Roman"/>
                <w:sz w:val="24"/>
                <w:szCs w:val="24"/>
              </w:rPr>
            </w:pPr>
            <w:r/>
          </w:p>
        </w:tc>
        <w:tc>
          <w:tcPr>
            <w:tcW w:w="656" w:type="dxa"/>
            <w:shd w:val="clear" w:color="auto" w:fill="auto"/>
            <w:textDirection w:val="lrTb"/>
            <w:vAlign w:val="bottom"/>
          </w:tcPr>
          <w:p>
            <w:pPr>
              <w:jc w:val="left"/>
              <w:rPr>
                <w:rFonts w:ascii="Times New Roman" w:hAnsi="Times New Roman"/>
                <w:sz w:val="24"/>
                <w:szCs w:val="24"/>
              </w:rPr>
            </w:pPr>
            <w:r/>
          </w:p>
        </w:tc>
        <w:tc>
          <w:tcPr>
            <w:tcW w:w="748" w:type="dxa"/>
            <w:shd w:val="clear" w:color="auto" w:fill="auto"/>
            <w:textDirection w:val="lrTb"/>
            <w:vAlign w:val="bottom"/>
          </w:tcPr>
          <w:p>
            <w:pPr>
              <w:jc w:val="left"/>
              <w:rPr>
                <w:rFonts w:ascii="Times New Roman" w:hAnsi="Times New Roman"/>
                <w:sz w:val="24"/>
                <w:szCs w:val="24"/>
              </w:rPr>
            </w:pPr>
            <w:r/>
          </w:p>
        </w:tc>
        <w:tc>
          <w:tcPr>
            <w:tcW w:w="853" w:type="dxa"/>
            <w:shd w:val="clear" w:color="auto" w:fill="auto"/>
            <w:textDirection w:val="lrTb"/>
            <w:vAlign w:val="bottom"/>
          </w:tcPr>
          <w:p>
            <w:pPr>
              <w:jc w:val="left"/>
              <w:rPr>
                <w:rFonts w:ascii="Times New Roman" w:hAnsi="Times New Roman"/>
                <w:sz w:val="24"/>
                <w:szCs w:val="24"/>
              </w:rPr>
            </w:pPr>
            <w:r/>
          </w:p>
        </w:tc>
        <w:tc>
          <w:tcPr>
            <w:tcW w:w="1221" w:type="dxa"/>
            <w:shd w:val="clear" w:color="auto" w:fill="auto"/>
            <w:textDirection w:val="lrTb"/>
            <w:vAlign w:val="bottom"/>
          </w:tcPr>
          <w:p>
            <w:pPr>
              <w:jc w:val="left"/>
              <w:rPr>
                <w:rFonts w:ascii="Times New Roman" w:hAnsi="Times New Roman"/>
                <w:sz w:val="24"/>
                <w:szCs w:val="24"/>
              </w:rPr>
            </w:pPr>
            <w:r/>
          </w:p>
        </w:tc>
        <w:tc>
          <w:tcPr>
            <w:tcW w:w="1168" w:type="dxa"/>
            <w:shd w:val="clear" w:color="auto" w:fill="auto"/>
            <w:textDirection w:val="lrTb"/>
            <w:vAlign w:val="bottom"/>
          </w:tcPr>
          <w:p>
            <w:pPr>
              <w:rPr>
                <w:rFonts w:ascii="Arial" w:hAnsi="Arial"/>
                <w:sz w:val="16"/>
                <w:szCs w:val="16"/>
              </w:rPr>
            </w:pPr>
            <w:r/>
          </w:p>
        </w:tc>
        <w:tc>
          <w:tcPr>
            <w:tcW w:w="971" w:type="dxa"/>
            <w:shd w:val="clear" w:color="auto" w:fill="auto"/>
            <w:textDirection w:val="lrTb"/>
            <w:vAlign w:val="bottom"/>
          </w:tcPr>
          <w:p>
            <w:pPr>
              <w:rPr>
                <w:rFonts w:ascii="Arial" w:hAnsi="Arial"/>
                <w:sz w:val="16"/>
                <w:szCs w:val="16"/>
              </w:rPr>
            </w:pPr>
            <w:r/>
          </w:p>
        </w:tc>
        <w:tc>
          <w:tcPr>
            <w:tcW w:w="1116" w:type="dxa"/>
            <w:shd w:val="clear" w:color="auto" w:fill="auto"/>
            <w:textDirection w:val="lrTb"/>
            <w:vAlign w:val="bottom"/>
          </w:tcPr>
          <w:p>
            <w:pPr>
              <w:rPr>
                <w:rFonts w:ascii="Arial" w:hAnsi="Arial"/>
                <w:sz w:val="16"/>
                <w:szCs w:val="16"/>
              </w:rPr>
            </w:pPr>
            <w:r/>
          </w:p>
        </w:tc>
      </w:tr>
      <w:tr>
        <w:trPr>
          <w:trHeight w:val="315" w:hRule="exact"/>
        </w:trPr>
        <w:tc>
          <w:tcPr>
            <w:tcW w:w="3977" w:type="dxa"/>
            <w:gridSpan w:val="3"/>
            <w:shd w:val="clear" w:color="auto" w:fill="auto"/>
            <w:textDirection w:val="lrTb"/>
            <w:vAlign w:val="bottom"/>
          </w:tcPr>
          <w:p>
            <w:pPr>
              <w:jc w:val="center"/>
              <w:rPr>
                <w:rFonts w:ascii="Times New Roman" w:hAnsi="Times New Roman"/>
                <w:sz w:val="24"/>
                <w:szCs w:val="24"/>
              </w:rPr>
            </w:pPr>
            <w:r>
              <w:rPr>
                <w:rFonts w:ascii="Times New Roman" w:hAnsi="Times New Roman"/>
                <w:sz w:val="24"/>
                <w:szCs w:val="24"/>
              </w:rPr>
              <w:t>О коммерческом предложении</w:t>
            </w:r>
          </w:p>
        </w:tc>
        <w:tc>
          <w:tcPr>
            <w:tcW w:w="656" w:type="dxa"/>
            <w:shd w:val="clear" w:color="auto" w:fill="auto"/>
            <w:textDirection w:val="lrTb"/>
            <w:vAlign w:val="bottom"/>
          </w:tcPr>
          <w:p>
            <w:pPr>
              <w:jc w:val="left"/>
              <w:rPr>
                <w:rFonts w:ascii="Times New Roman" w:hAnsi="Times New Roman"/>
                <w:sz w:val="24"/>
                <w:szCs w:val="24"/>
              </w:rPr>
            </w:pPr>
            <w:r/>
          </w:p>
        </w:tc>
        <w:tc>
          <w:tcPr>
            <w:tcW w:w="748" w:type="dxa"/>
            <w:shd w:val="clear" w:color="auto" w:fill="auto"/>
            <w:textDirection w:val="lrTb"/>
            <w:vAlign w:val="bottom"/>
          </w:tcPr>
          <w:p>
            <w:pPr>
              <w:jc w:val="left"/>
              <w:rPr>
                <w:rFonts w:ascii="Times New Roman" w:hAnsi="Times New Roman"/>
                <w:sz w:val="24"/>
                <w:szCs w:val="24"/>
              </w:rPr>
            </w:pPr>
            <w:r/>
          </w:p>
        </w:tc>
        <w:tc>
          <w:tcPr>
            <w:tcW w:w="853" w:type="dxa"/>
            <w:shd w:val="clear" w:color="auto" w:fill="auto"/>
            <w:textDirection w:val="lrTb"/>
            <w:vAlign w:val="bottom"/>
          </w:tcPr>
          <w:p>
            <w:pPr>
              <w:jc w:val="left"/>
              <w:rPr>
                <w:rFonts w:ascii="Times New Roman" w:hAnsi="Times New Roman"/>
                <w:sz w:val="24"/>
                <w:szCs w:val="24"/>
              </w:rPr>
            </w:pPr>
            <w:r/>
          </w:p>
        </w:tc>
        <w:tc>
          <w:tcPr>
            <w:tcW w:w="1221" w:type="dxa"/>
            <w:shd w:val="clear" w:color="auto" w:fill="auto"/>
            <w:textDirection w:val="lrTb"/>
            <w:vAlign w:val="bottom"/>
          </w:tcPr>
          <w:p>
            <w:pPr>
              <w:jc w:val="left"/>
              <w:rPr>
                <w:rFonts w:ascii="Times New Roman" w:hAnsi="Times New Roman"/>
                <w:sz w:val="24"/>
                <w:szCs w:val="24"/>
              </w:rPr>
            </w:pPr>
            <w:r/>
          </w:p>
        </w:tc>
        <w:tc>
          <w:tcPr>
            <w:tcW w:w="1168" w:type="dxa"/>
            <w:shd w:val="clear" w:color="auto" w:fill="auto"/>
            <w:textDirection w:val="lrTb"/>
            <w:vAlign w:val="bottom"/>
          </w:tcPr>
          <w:p>
            <w:pPr>
              <w:rPr>
                <w:rFonts w:ascii="Arial" w:hAnsi="Arial"/>
                <w:sz w:val="16"/>
                <w:szCs w:val="16"/>
              </w:rPr>
            </w:pPr>
            <w:r/>
          </w:p>
        </w:tc>
        <w:tc>
          <w:tcPr>
            <w:tcW w:w="971" w:type="dxa"/>
            <w:shd w:val="clear" w:color="auto" w:fill="auto"/>
            <w:textDirection w:val="lrTb"/>
            <w:vAlign w:val="bottom"/>
          </w:tcPr>
          <w:p>
            <w:pPr>
              <w:rPr>
                <w:rFonts w:ascii="Arial" w:hAnsi="Arial"/>
                <w:sz w:val="16"/>
                <w:szCs w:val="16"/>
              </w:rPr>
            </w:pPr>
            <w:r/>
          </w:p>
        </w:tc>
        <w:tc>
          <w:tcPr>
            <w:tcW w:w="1116" w:type="dxa"/>
            <w:shd w:val="clear" w:color="auto" w:fill="auto"/>
            <w:textDirection w:val="lrTb"/>
            <w:vAlign w:val="bottom"/>
          </w:tcPr>
          <w:p>
            <w:pPr>
              <w:rPr>
                <w:rFonts w:ascii="Arial" w:hAnsi="Arial"/>
                <w:sz w:val="16"/>
                <w:szCs w:val="16"/>
              </w:rPr>
            </w:pPr>
            <w:r/>
          </w:p>
        </w:tc>
      </w:tr>
      <w:tr>
        <w:trPr>
          <w:trHeight w:val="315" w:hRule="exact"/>
        </w:trPr>
        <w:tc>
          <w:tcPr>
            <w:tcW w:w="551" w:type="dxa"/>
            <w:shd w:val="clear" w:color="auto" w:fill="auto"/>
            <w:textDirection w:val="lrTb"/>
            <w:vAlign w:val="bottom"/>
          </w:tcPr>
          <w:p>
            <w:pPr>
              <w:jc w:val="left"/>
              <w:rPr>
                <w:rFonts w:ascii="Times New Roman" w:hAnsi="Times New Roman"/>
                <w:sz w:val="24"/>
                <w:szCs w:val="24"/>
              </w:rPr>
            </w:pPr>
            <w:r/>
          </w:p>
        </w:tc>
        <w:tc>
          <w:tcPr>
            <w:tcW w:w="1483" w:type="dxa"/>
            <w:shd w:val="clear" w:color="auto" w:fill="auto"/>
            <w:textDirection w:val="lrTb"/>
            <w:vAlign w:val="bottom"/>
          </w:tcPr>
          <w:p>
            <w:pPr>
              <w:jc w:val="left"/>
              <w:rPr>
                <w:rFonts w:ascii="Times New Roman" w:hAnsi="Times New Roman"/>
                <w:sz w:val="24"/>
                <w:szCs w:val="24"/>
              </w:rPr>
            </w:pPr>
            <w:r/>
          </w:p>
        </w:tc>
        <w:tc>
          <w:tcPr>
            <w:tcW w:w="1943" w:type="dxa"/>
            <w:shd w:val="clear" w:color="auto" w:fill="auto"/>
            <w:textDirection w:val="lrTb"/>
            <w:vAlign w:val="bottom"/>
          </w:tcPr>
          <w:p>
            <w:pPr>
              <w:jc w:val="left"/>
              <w:rPr>
                <w:rFonts w:ascii="Times New Roman" w:hAnsi="Times New Roman"/>
                <w:sz w:val="24"/>
                <w:szCs w:val="24"/>
              </w:rPr>
            </w:pPr>
            <w:r/>
          </w:p>
        </w:tc>
        <w:tc>
          <w:tcPr>
            <w:tcW w:w="656" w:type="dxa"/>
            <w:shd w:val="clear" w:color="auto" w:fill="auto"/>
            <w:textDirection w:val="lrTb"/>
            <w:vAlign w:val="bottom"/>
          </w:tcPr>
          <w:p>
            <w:pPr>
              <w:jc w:val="left"/>
              <w:rPr>
                <w:rFonts w:ascii="Times New Roman" w:hAnsi="Times New Roman"/>
                <w:sz w:val="24"/>
                <w:szCs w:val="24"/>
              </w:rPr>
            </w:pPr>
            <w:r/>
          </w:p>
        </w:tc>
        <w:tc>
          <w:tcPr>
            <w:tcW w:w="748" w:type="dxa"/>
            <w:shd w:val="clear" w:color="auto" w:fill="auto"/>
            <w:textDirection w:val="lrTb"/>
            <w:vAlign w:val="bottom"/>
          </w:tcPr>
          <w:p>
            <w:pPr>
              <w:jc w:val="left"/>
              <w:rPr>
                <w:rFonts w:ascii="Times New Roman" w:hAnsi="Times New Roman"/>
                <w:sz w:val="24"/>
                <w:szCs w:val="24"/>
              </w:rPr>
            </w:pPr>
            <w:r/>
          </w:p>
        </w:tc>
        <w:tc>
          <w:tcPr>
            <w:tcW w:w="853" w:type="dxa"/>
            <w:shd w:val="clear" w:color="auto" w:fill="auto"/>
            <w:textDirection w:val="lrTb"/>
            <w:vAlign w:val="bottom"/>
          </w:tcPr>
          <w:p>
            <w:pPr>
              <w:jc w:val="left"/>
              <w:rPr>
                <w:rFonts w:ascii="Times New Roman" w:hAnsi="Times New Roman"/>
                <w:sz w:val="24"/>
                <w:szCs w:val="24"/>
              </w:rPr>
            </w:pPr>
            <w:r/>
          </w:p>
        </w:tc>
        <w:tc>
          <w:tcPr>
            <w:tcW w:w="1221" w:type="dxa"/>
            <w:shd w:val="clear" w:color="auto" w:fill="auto"/>
            <w:textDirection w:val="lrTb"/>
            <w:vAlign w:val="bottom"/>
          </w:tcPr>
          <w:p>
            <w:pPr>
              <w:jc w:val="left"/>
              <w:rPr>
                <w:rFonts w:ascii="Times New Roman" w:hAnsi="Times New Roman"/>
                <w:sz w:val="24"/>
                <w:szCs w:val="24"/>
              </w:rPr>
            </w:pPr>
            <w:r/>
          </w:p>
        </w:tc>
        <w:tc>
          <w:tcPr>
            <w:tcW w:w="1168" w:type="dxa"/>
            <w:shd w:val="clear" w:color="auto" w:fill="auto"/>
            <w:textDirection w:val="lrTb"/>
            <w:vAlign w:val="bottom"/>
          </w:tcPr>
          <w:p>
            <w:pPr>
              <w:rPr>
                <w:rFonts w:ascii="Arial" w:hAnsi="Arial"/>
                <w:sz w:val="16"/>
                <w:szCs w:val="16"/>
              </w:rPr>
            </w:pPr>
            <w:r/>
          </w:p>
        </w:tc>
        <w:tc>
          <w:tcPr>
            <w:tcW w:w="971" w:type="dxa"/>
            <w:shd w:val="clear" w:color="auto" w:fill="auto"/>
            <w:textDirection w:val="lrTb"/>
            <w:vAlign w:val="bottom"/>
          </w:tcPr>
          <w:p>
            <w:pPr>
              <w:rPr>
                <w:rFonts w:ascii="Arial" w:hAnsi="Arial"/>
                <w:sz w:val="16"/>
                <w:szCs w:val="16"/>
              </w:rPr>
            </w:pPr>
            <w:r/>
          </w:p>
        </w:tc>
        <w:tc>
          <w:tcPr>
            <w:tcW w:w="1116" w:type="dxa"/>
            <w:shd w:val="clear" w:color="auto" w:fill="auto"/>
            <w:textDirection w:val="lrTb"/>
            <w:vAlign w:val="bottom"/>
          </w:tcPr>
          <w:p>
            <w:pPr>
              <w:rPr>
                <w:rFonts w:ascii="Arial" w:hAnsi="Arial"/>
                <w:sz w:val="16"/>
                <w:szCs w:val="16"/>
              </w:rPr>
            </w:pPr>
            <w:r/>
          </w:p>
        </w:tc>
      </w:tr>
      <w:tr>
        <w:trPr>
          <w:trHeight w:val="375" w:hRule="exact"/>
        </w:trPr>
        <w:tc>
          <w:tcPr>
            <w:tcW w:w="7455" w:type="dxa"/>
            <w:gridSpan w:val="7"/>
            <w:shd w:val="clear" w:color="auto" w:fill="auto"/>
            <w:textDirection w:val="lrTb"/>
            <w:vAlign w:val="bottom"/>
          </w:tcPr>
          <w:p>
            <w:pPr>
              <w:jc w:val="center"/>
              <w:rPr>
                <w:rFonts w:ascii="Times New Roman" w:hAnsi="Times New Roman"/>
                <w:b/>
                <w:sz w:val="28"/>
                <w:szCs w:val="28"/>
              </w:rPr>
            </w:pPr>
            <w:r>
              <w:rPr>
                <w:rFonts w:ascii="Times New Roman" w:hAnsi="Times New Roman"/>
                <w:b/>
                <w:sz w:val="28"/>
                <w:szCs w:val="28"/>
              </w:rPr>
              <w:t>Уважаемые господа!</w:t>
            </w:r>
          </w:p>
        </w:tc>
        <w:tc>
          <w:tcPr>
            <w:tcW w:w="1168" w:type="dxa"/>
            <w:shd w:val="clear" w:color="auto" w:fill="auto"/>
            <w:textDirection w:val="lrTb"/>
            <w:vAlign w:val="bottom"/>
          </w:tcPr>
          <w:p>
            <w:pPr>
              <w:rPr>
                <w:rFonts w:ascii="Arial" w:hAnsi="Arial"/>
                <w:sz w:val="16"/>
                <w:szCs w:val="16"/>
              </w:rPr>
            </w:pPr>
            <w:r/>
          </w:p>
        </w:tc>
        <w:tc>
          <w:tcPr>
            <w:tcW w:w="971" w:type="dxa"/>
            <w:shd w:val="clear" w:color="auto" w:fill="auto"/>
            <w:textDirection w:val="lrTb"/>
            <w:vAlign w:val="bottom"/>
          </w:tcPr>
          <w:p>
            <w:pPr>
              <w:rPr>
                <w:rFonts w:ascii="Arial" w:hAnsi="Arial"/>
                <w:sz w:val="16"/>
                <w:szCs w:val="16"/>
              </w:rPr>
            </w:pPr>
            <w:r/>
          </w:p>
        </w:tc>
        <w:tc>
          <w:tcPr>
            <w:tcW w:w="1116" w:type="dxa"/>
            <w:shd w:val="clear" w:color="auto" w:fill="auto"/>
            <w:textDirection w:val="lrTb"/>
            <w:vAlign w:val="bottom"/>
          </w:tcPr>
          <w:p>
            <w:pPr>
              <w:rPr>
                <w:rFonts w:ascii="Arial" w:hAnsi="Arial"/>
                <w:sz w:val="16"/>
                <w:szCs w:val="16"/>
              </w:rPr>
            </w:pPr>
            <w:r/>
          </w:p>
        </w:tc>
      </w:tr>
      <w:tr>
        <w:trPr>
          <w:trHeight w:val="375" w:hRule="exact"/>
        </w:trPr>
        <w:tc>
          <w:tcPr>
            <w:tcW w:w="10710" w:type="dxa"/>
            <w:gridSpan w:val="10"/>
            <w:shd w:val="clear" w:color="auto" w:fill="auto"/>
            <w:textDirection w:val="lrTb"/>
            <w:vAlign w:val="bottom"/>
          </w:tcPr>
          <w:p>
            <w:pPr>
              <w:wordWrap w:val="1"/>
              <w:jc w:val="center"/>
              <w:rPr>
                <w:rFonts w:ascii="Times New Roman" w:hAnsi="Times New Roman"/>
                <w:sz w:val="28"/>
                <w:szCs w:val="28"/>
              </w:rPr>
            </w:pPr>
            <w:r>
              <w:rPr>
                <w:rFonts w:ascii="Times New Roman" w:hAnsi="Times New Roman"/>
                <w:sz w:val="28"/>
                <w:szCs w:val="28"/>
              </w:rPr>
              <w:t xml:space="preserve">     Прошу Вас предоставить коммерческое предложение на право поставки следующего товара или эквивалента:</w:t>
            </w:r>
          </w:p>
        </w:tc>
      </w:tr>
      <w:tr>
        <w:trPr>
          <w:trHeight w:val="6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center"/>
          </w:tcPr>
          <w:p>
            <w:pPr>
              <w:wordWrap w:val="1"/>
              <w:jc w:val="center"/>
              <w:rPr>
                <w:rFonts w:ascii="Times New Roman" w:hAnsi="Times New Roman"/>
                <w:b/>
                <w:sz w:val="24"/>
                <w:szCs w:val="24"/>
              </w:rPr>
            </w:pPr>
            <w:r/>
            <w:r>
              <w:rPr>
                <w:rFonts w:ascii="Times New Roman" w:hAnsi="Times New Roman"/>
                <w:b/>
                <w:sz w:val="24"/>
                <w:szCs w:val="24"/>
              </w:rPr>
              <w:t>№ п/п</w:t>
            </w:r>
          </w:p>
        </w:tc>
        <w:tc>
          <w:tcPr>
            <w:tcW w:w="1483" w:type="dxa"/>
            <w:tcBorders>
              <w:top w:val="single" w:sz="5" w:space="0" w:color="auto"/>
              <w:bottom w:val="single" w:sz="5" w:space="0" w:color="auto"/>
              <w:right w:val="single" w:sz="5" w:space="0" w:color="auto"/>
            </w:tcBorders>
            <w:shd w:val="clear" w:color="auto" w:fill="auto"/>
            <w:textDirection w:val="lrTb"/>
            <w:vAlign w:val="center"/>
          </w:tcPr>
          <w:p>
            <w:pPr>
              <w:wordWrap w:val="1"/>
              <w:jc w:val="center"/>
              <w:rPr>
                <w:rFonts w:ascii="Times New Roman" w:hAnsi="Times New Roman"/>
                <w:b/>
                <w:sz w:val="24"/>
                <w:szCs w:val="24"/>
              </w:rPr>
            </w:pPr>
            <w:r/>
            <w:r>
              <w:rPr>
                <w:rFonts w:ascii="Times New Roman" w:hAnsi="Times New Roman"/>
                <w:b/>
                <w:sz w:val="24"/>
                <w:szCs w:val="24"/>
              </w:rPr>
              <w:t>Наименование</w:t>
            </w:r>
          </w:p>
        </w:tc>
        <w:tc>
          <w:tcPr>
            <w:tcW w:w="1943" w:type="dxa"/>
            <w:tcBorders>
              <w:top w:val="single" w:sz="5" w:space="0" w:color="auto"/>
              <w:bottom w:val="single" w:sz="5" w:space="0" w:color="auto"/>
              <w:right w:val="single" w:sz="5" w:space="0" w:color="auto"/>
            </w:tcBorders>
            <w:shd w:val="clear" w:color="auto" w:fill="auto"/>
            <w:textDirection w:val="lrTb"/>
            <w:vAlign w:val="center"/>
          </w:tcPr>
          <w:p>
            <w:pPr>
              <w:wordWrap w:val="1"/>
              <w:jc w:val="center"/>
              <w:rPr>
                <w:rFonts w:ascii="Times New Roman" w:hAnsi="Times New Roman"/>
                <w:b/>
                <w:sz w:val="24"/>
                <w:szCs w:val="24"/>
              </w:rPr>
            </w:pPr>
            <w:r/>
            <w:r>
              <w:rPr>
                <w:rFonts w:ascii="Times New Roman" w:hAnsi="Times New Roman"/>
                <w:b/>
                <w:sz w:val="24"/>
                <w:szCs w:val="24"/>
              </w:rPr>
              <w:t>Характеристики</w:t>
            </w:r>
          </w:p>
        </w:tc>
        <w:tc>
          <w:tcPr>
            <w:tcW w:w="656" w:type="dxa"/>
            <w:tcBorders>
              <w:top w:val="single" w:sz="5" w:space="0" w:color="auto"/>
              <w:bottom w:val="single" w:sz="5" w:space="0" w:color="auto"/>
              <w:right w:val="single" w:sz="5" w:space="0" w:color="auto"/>
            </w:tcBorders>
            <w:shd w:val="clear" w:color="auto" w:fill="auto"/>
            <w:textDirection w:val="lrTb"/>
            <w:vAlign w:val="center"/>
          </w:tcPr>
          <w:p>
            <w:pPr>
              <w:wordWrap w:val="1"/>
              <w:jc w:val="center"/>
              <w:rPr>
                <w:rFonts w:ascii="Times New Roman" w:hAnsi="Times New Roman"/>
                <w:b/>
                <w:sz w:val="24"/>
                <w:szCs w:val="24"/>
              </w:rPr>
            </w:pPr>
            <w:r/>
            <w:r>
              <w:rPr>
                <w:rFonts w:ascii="Times New Roman" w:hAnsi="Times New Roman"/>
                <w:b/>
                <w:sz w:val="24"/>
                <w:szCs w:val="24"/>
              </w:rPr>
              <w:t>Ед. изм.</w:t>
            </w:r>
          </w:p>
        </w:tc>
        <w:tc>
          <w:tcPr>
            <w:tcW w:w="748" w:type="dxa"/>
            <w:tcBorders>
              <w:top w:val="single" w:sz="5" w:space="0" w:color="auto"/>
              <w:bottom w:val="single" w:sz="5" w:space="0" w:color="auto"/>
              <w:right w:val="single" w:sz="5" w:space="0" w:color="auto"/>
            </w:tcBorders>
            <w:shd w:val="clear" w:color="auto" w:fill="auto"/>
            <w:textDirection w:val="lrTb"/>
            <w:vAlign w:val="center"/>
          </w:tcPr>
          <w:p>
            <w:pPr>
              <w:wordWrap w:val="1"/>
              <w:jc w:val="center"/>
              <w:rPr>
                <w:rFonts w:ascii="Times New Roman" w:hAnsi="Times New Roman"/>
                <w:b/>
                <w:sz w:val="24"/>
                <w:szCs w:val="24"/>
              </w:rPr>
            </w:pPr>
            <w:r/>
            <w:r>
              <w:rPr>
                <w:rFonts w:ascii="Times New Roman" w:hAnsi="Times New Roman"/>
                <w:b/>
                <w:sz w:val="24"/>
                <w:szCs w:val="24"/>
              </w:rPr>
              <w:t>Кол-во, шт</w:t>
            </w:r>
          </w:p>
        </w:tc>
        <w:tc>
          <w:tcPr>
            <w:tcW w:w="853" w:type="dxa"/>
            <w:tcBorders>
              <w:top w:val="single" w:sz="5" w:space="0" w:color="auto"/>
              <w:bottom w:val="single" w:sz="5" w:space="0" w:color="auto"/>
              <w:right w:val="single" w:sz="5" w:space="0" w:color="auto"/>
            </w:tcBorders>
            <w:shd w:val="clear" w:color="auto" w:fill="auto"/>
            <w:textDirection w:val="lrTb"/>
            <w:vAlign w:val="center"/>
          </w:tcPr>
          <w:p>
            <w:pPr>
              <w:wordWrap w:val="1"/>
              <w:jc w:val="center"/>
              <w:rPr>
                <w:rFonts w:ascii="Times New Roman" w:hAnsi="Times New Roman"/>
                <w:b/>
                <w:sz w:val="24"/>
                <w:szCs w:val="24"/>
              </w:rPr>
            </w:pPr>
            <w:r/>
            <w:r>
              <w:rPr>
                <w:rFonts w:ascii="Times New Roman" w:hAnsi="Times New Roman"/>
                <w:b/>
                <w:sz w:val="24"/>
                <w:szCs w:val="24"/>
              </w:rPr>
              <w:t>Цена, рублей</w:t>
            </w:r>
          </w:p>
        </w:tc>
        <w:tc>
          <w:tcPr>
            <w:tcW w:w="1221" w:type="dxa"/>
            <w:tcBorders>
              <w:top w:val="single" w:sz="5" w:space="0" w:color="auto"/>
              <w:bottom w:val="single" w:sz="5" w:space="0" w:color="auto"/>
              <w:right w:val="single" w:sz="5" w:space="0" w:color="auto"/>
            </w:tcBorders>
            <w:shd w:val="clear" w:color="auto" w:fill="auto"/>
            <w:textDirection w:val="lrTb"/>
            <w:vAlign w:val="center"/>
          </w:tcPr>
          <w:p>
            <w:pPr>
              <w:wordWrap w:val="1"/>
              <w:jc w:val="center"/>
              <w:rPr>
                <w:rFonts w:ascii="Times New Roman" w:hAnsi="Times New Roman"/>
                <w:b/>
                <w:sz w:val="24"/>
                <w:szCs w:val="24"/>
              </w:rPr>
            </w:pPr>
            <w:r/>
            <w:r>
              <w:rPr>
                <w:rFonts w:ascii="Times New Roman" w:hAnsi="Times New Roman"/>
                <w:b/>
                <w:sz w:val="24"/>
                <w:szCs w:val="24"/>
              </w:rPr>
              <w:t>Страна происхождения</w:t>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center"/>
          </w:tcPr>
          <w:p>
            <w:pPr>
              <w:wordWrap w:val="1"/>
              <w:jc w:val="center"/>
              <w:rPr>
                <w:rFonts w:ascii="Times New Roman" w:hAnsi="Times New Roman"/>
                <w:b/>
                <w:sz w:val="24"/>
                <w:szCs w:val="24"/>
              </w:rPr>
            </w:pPr>
            <w:r/>
            <w:r>
              <w:rPr>
                <w:rFonts w:ascii="Times New Roman" w:hAnsi="Times New Roman"/>
                <w:b/>
                <w:sz w:val="24"/>
                <w:szCs w:val="24"/>
              </w:rPr>
              <w:t>Остаточный срок годности</w:t>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center"/>
          </w:tcPr>
          <w:p>
            <w:pPr>
              <w:wordWrap w:val="1"/>
              <w:jc w:val="center"/>
              <w:rPr>
                <w:rFonts w:ascii="Times New Roman" w:hAnsi="Times New Roman"/>
                <w:b/>
                <w:sz w:val="24"/>
                <w:szCs w:val="24"/>
              </w:rPr>
            </w:pPr>
            <w:r/>
            <w:r>
              <w:rPr>
                <w:rFonts w:ascii="Times New Roman" w:hAnsi="Times New Roman"/>
                <w:b/>
                <w:sz w:val="24"/>
                <w:szCs w:val="24"/>
              </w:rPr>
              <w:t>ОКПД2\КТРУ</w:t>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center"/>
          </w:tcPr>
          <w:p>
            <w:pPr>
              <w:wordWrap w:val="1"/>
              <w:jc w:val="center"/>
              <w:rPr>
                <w:rFonts w:ascii="Times New Roman" w:hAnsi="Times New Roman"/>
                <w:b/>
                <w:sz w:val="24"/>
                <w:szCs w:val="24"/>
              </w:rPr>
            </w:pPr>
            <w:r/>
            <w:r>
              <w:rPr>
                <w:rFonts w:ascii="Times New Roman" w:hAnsi="Times New Roman"/>
                <w:b/>
                <w:sz w:val="24"/>
                <w:szCs w:val="24"/>
              </w:rPr>
              <w:t>Код вида МИ</w:t>
            </w:r>
          </w:p>
        </w:tc>
      </w:tr>
      <w:tr>
        <w:trPr>
          <w:trHeight w:val="123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1</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Устройство для санации раневой поверхности</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Равномерное орошение в пусльсирующем режиме одновременно с очисткой (аспирацией) раны при ортопедических операциях</w:t>
              <w:br/>
              <w:t>
Рукоятка одноразовая, неразборная</w:t>
              <w:br/>
              <w:t>
Кулисный переключатель, регулирующий величину давления подаваемой жидкости, меняя силу нажатия пальцем</w:t>
              <w:br/>
              <w:t>
Подаваемое давление жидкости1,2 до 29 PSI (фунт на квадратный дюйм (0,07 кг/см2))</w:t>
              <w:br/>
              <w:t>
Механизм фиксации наконечника с принудительной блокировкой</w:t>
              <w:br/>
              <w:t>
Наконечник высокопроизводительный одноразоваый</w:t>
              <w:br/>
              <w:t>
Тип распыления жидкости для операций на бедре Веерный</w:t>
              <w:br/>
              <w:t>
Тип распыления жидкости для операций на колене Душирующий</w:t>
              <w:br/>
              <w:t>
Брызгозащита</w:t>
              <w:br/>
              <w:t>
Длина наконечника Не менее 12 см</w:t>
              <w:br/>
              <w:t>
Подача жидкости в наконечнике </w:t>
              <w:br/>
              <w:t>
Аспирация жидкости  в наконечнике</w:t>
              <w:br/>
              <w:t>
Система параллельных трубок для подачи и эвакуации жидкости </w:t>
              <w:br/>
              <w:t>
Батарейная упаковка, расположенная отдельно от рукоятки</w:t>
              <w:br/>
              <w:t>
Работа от переменного тока</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20</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45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2</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Вкладыш ADVANCE</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Материал скользящей поверхности полиэтилен ISO5834-2.  3 вида: стандартный, глубокое блюдце, ультраконгруэнтный. Размеров по ширине 5 (65- 85 мм, шаг 5 мм). Размеров по высоте  6 (10-20 мм, шаг 2 мм). Жесткая фиксация в тибиальном компоненте путем защелкивания. Возможность применения одного вкладыша для основного и промежуточного размера тибиального плато.</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60</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99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3</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Вкладыш (OXFORD III)</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Компонент  изготовлен из  ультравысокомолекулярного полиэтилена. </w:t>
              <w:br/>
              <w:t>
Форма  компонента   анатомическая, поверхности полностью конгруэнтны бедренному и большеберцовому компонентам.</w:t>
              <w:br/>
              <w:t>
Компоненты  левый внутренний, правый внутренний.</w:t>
              <w:br/>
              <w:t>
Стерилизация: гамма-облучение в бескислородных условиях (в инертном газе-аргоне).</w:t>
              <w:br/>
              <w:t>
Фиксация вкладыша  осуществляется за счет полной конгруэнтности тибиальному и бедренному компоненту, медиального противовывихового барьера, латерально, сзади и спереди - собственных мягких тканей области коленного сустава, плавающие движения полностью соответствуют биомеханике мениска.</w:t>
              <w:br/>
              <w:t>
Типоразмеры компонента (толщина для каждого размера (мм): 3 мм, 4 мм, 5 мм, 6 мм, 7 мм, 8 мм, 9 мм.</w:t>
              <w:br/>
              <w:t>
</w:t>
              <w:br/>
              <w:t>
</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30</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132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4</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Компонент бедренный для протезирования коленного сустава цементной фиксации </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Бедренный компонент. Форма анатомическая (правый, левый), соотношение радиусов мыщелков близко к нормальному бедру (1:1,07-1,08) для соответствия поверхности дистальной части бедренной кости с возможностью предоставления бедренных компонентов с учетом гендерных анатомических особенностей с соотношением радиусов мыщелков присущих женскому типу бедра (1:1.09-1.02), более тонким профилем переднего фланца и увеличенным углом трохлеарной борозды. Конструкция бедренного компонента обеспечивает возможность сгибания до 155 град. Материал – кобальт-хром-молибденовый сплав. Структура: Внутренняя поверхность компонента – шероховатая, снаружи – гладкая. Размеры двух типов – правые и левые, 5-ти стандартных типоразмеров, 2-х микро и 1-го макро. Метод фиксации цементный. Особенности –представлены оба вида компонентов салазкового типа для использования у пациентов  с наличием задней крестообразной связки и без нее, т.е. с ограничителем гиперсгибания. Каждому типоразмеру бедренного компонента соответствует2-х типоразмератибиального компонента.</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60</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105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5</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Компонент бедренный OXFORD III</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"Компонент  изготовлен из сплава кобальт-хром-молибден.</w:t>
              <w:br/>
              <w:t>
Форма  компонента  представляет собой  монорадиусный одномыщелковый компонент с двумя деротационными пегами. Внутренняя поверхность  имеет вид бокса, глубиной 1 мм, для создания равномерной цементной мантии, не выступающей за пределы компонента.</w:t>
              <w:br/>
              <w:t>
Характеристики: универсальный для левого, правого коленного сустава, внутреннего мыщелка бедренной кости.</w:t>
              <w:br/>
              <w:t>
Тип фиксации: цементная. </w:t>
              <w:br/>
              <w:t>
Покрытие: интерлокинг (шершавость всей поверхности, контактирующей с костным цементом, нанесенная абразивным материалом)</w:t>
              <w:br/>
              <w:t>
Размеры:  три стандартных типоразмера (S,M,L) и  два опционных (XS, XL).</w:t>
              <w:br/>
              <w:t>
Полная  сочетаемость  (любой размер бедренного компонента  используется с любым размером тибиального компонента).</w:t>
              <w:br/>
              <w:t>
"</w:t>
              <w:br/>
              <w:t>
</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30</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129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6</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Большеберцовый компонент (OXFORD III)</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"Компонент изготовлен из сплава кобальт-хром-молибден.</w:t>
              <w:br/>
              <w:t>
Форма  компонента  плоская с двух сторон, с противовывиховым барьером. На стороне, контактирующей с костью, имеется  деротационная ножка с отверстием для  стабильной фиксации компонента. Внутренняя поверхность  имеет вид бокса, глубиной 1 мм, для создания равномерной цементной мантии, не выступающей за пределы компонента.</w:t>
              <w:br/>
              <w:t>
Компоненты   левый внутренний, правый внутренний.</w:t>
              <w:br/>
              <w:t>
Покрытие: интерлокинг ( шершавость внутренней поверхности, контактирующей с костью, нанесенная абразивным материалом).</w:t>
              <w:br/>
              <w:t>
Тип фиксации: цементная.</w:t>
              <w:br/>
              <w:t>
Компоненты  имеют типоразмерный ряд (передне-задний размер (мм)\латерально-медиальный размер (мм)): 38мм\26 мм, 41 мм\26 мм, 44 мм\28 мм, 47 мм\30 мм, 50 мм\32 мм, 53 мм\34 мм.</w:t>
              <w:br/>
              <w:t>
Полная  сочетаемость   с бедренными компонентами по размеру и типу (любой размер тибиального компонента  используется с любым размером и типом бедренного компонента).</w:t>
              <w:br/>
              <w:t>
"</w:t>
              <w:br/>
              <w:t>
</w:t>
              <w:br/>
              <w:t>
</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30</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99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7</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Компонент тибиальный ADVANCE</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Материал CoCr29Mo ISO5832-12, типоразмеров  9 (включая 4 промежуточных размера), по переднезаднему размеру 43 - 56 мм, по медиально-латеральному размеру  65- 85 мм. Толщина тибиального плато 6 мм, с углублением под вкладыш 3 мм. Общая длина тибиального плато 28-48 мм, шаг 5 мм. Тонкие  постериальные фланцы (крылья) для деротационной стабильности, длина 14 мм. Возможность применения удлиняющей ножки тибиального моноблока. Универсальное применение одного тибиального плато (при протезировании с сохранением задней крестообразной связки и без сохранения). Совместимость каждого размера тибиального плато c 3-мя размерами бедренного компонента. Возможность поставки гипоаллергенной версии компонентов протеза (включая фиксирующий винт для вкладыша) с покрытием из Нитрида Циркония (ZnN).</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60</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105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8</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Тибиальный компонент </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Тибиальный компонент эндопротеза универсальный (для левой и правой голени).</w:t>
              <w:br/>
              <w:t>
Материал:  сплав Ti-6Al-4V (ISO 5832-3..1996)</w:t>
              <w:br/>
              <w:t>
тип фиксации:  цементный</w:t>
              <w:br/>
              <w:t>
Конструктивные особенности:</w:t>
              <w:br/>
              <w:t>
- Имплантируемая поверхность имеет тонкий слой костного цемента PMMA</w:t>
              <w:br/>
              <w:t>
- Компонент  оснащается прямыми или офсетными удлинительными штифтами длиной 100 мм для стабилизации компонентов</w:t>
              <w:br/>
              <w:t>
- Компонент имеет возможность установки бедренных и тибиальных блоков толщиной 5 и 10 мм различной конфигурации для замещения костных дефектов</w:t>
              <w:br/>
              <w:t>
Тип запорного механизма для полиэтиленовой прокладки - защелкивающийся. Каждому типоразмеру тибиального компонента по ширине соответствует  2 типа  полиэтиленовых прокладок.</w:t>
              <w:br/>
              <w:t>
Размеры: размерный  ряд составляет 10 размеров, из них:</w:t>
              <w:br/>
              <w:t>
6-ть стандартных (3, 4, 5, 6, 7, 8), с возможностью поставки 2-х – микро (1, 2) и  2-х макро (9, 10).</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60</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57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9</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Компонент бедренный</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Сплав CoCr29Mo ISO5832-12, правый/левый, типоразмеров 7 (по переднезаднему размеру  50 - 75,5 мм), по медиально-латеральному размеру  56-82 мм). Одинаковый феморально-пателлярный радиус бедренного компонента 45º. Толщина бедренного компонента 9 мм. Ориентация имплантации на механическую ось конечности. Возможность поставки гипоаллергенной версии компонентов протеза (включая фиксирующий винт для вкладыша) с покрытием из Нитрида Циркония (ZnN).</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60</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27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10</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Лезвие осцилляторное GTS длина среза 90 мм, ширина среза 19 мм, толщина 1,19 мм</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должно быть совместимо с пилой осцилляторной. Должно быть стерильным. Должно иметь зубцы не менее 3 мм. Лезвие должно иметь длину среза 90 мм, ширину среза 19 мм, толщину 1,19 мм. Материал - нержавеющая сталь.</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150</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21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11</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Лезвие реципрокной пилы</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 xml:space="preserve"> размеры: длина -от 80 до 120 мм, ширина - от 9 до 14 мм, толщина - от 0,8 до 1,19 мм, совместимы с разъёмом типа "Stryker", материал - медицинская инструментальная сталь</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10</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138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12</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Набор для замешивания костного цемента</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Набор стерильных хирургических инструментов, приспособлений, разработанных для подготовки и нанесения костного цемента во время ортопедической хирургической операции. Способ замешивания: в условиях частичного вакуума, что обеспечивает однородность костного цемента, при этом поры в цементе эффективно уменьшаются. Вид системы: закрытая, что позволяет минимизировать количество свободного мономера в операционной, поскольку метод нанесения устраняет прямой контакт с костным цементом. Количество замешиваний цемета 2. Объем  цемента для первого замешивания  40 грамм, для подбора подходящего объема во время операции. Объем  цемента для второго замешивания 80 грамм, для подбора подходящего объема во время операции. Комплект поставки: 1. Короткий картридж,  длинный картридж, 2. Съемный наконечник для улучшения позиционирования цемента в ране, 3. Воронка для ввода цемента в систему, 4. Магистраль со стерильным фильтром, 5. Фильтр, 6. Прешурайзер бедренный из силикона. Оптимальный состав комплекта, позволяющий произвести быструю сборку набора в условиях стерильности. Стерильная индивидуальная упаковка.</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150</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48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13</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Полиэтиленовый вкладыш</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Полиэтиленовые вкладыши (прокладка тибиальная) с задним стабилизатором универсальные (для левой и правой голени). Материал: высокомолекулярный полиэтилен UHMWPE (ISO 5834-2..1998). Конструктивные особенности: Полиэтиленовая прокладка жесткой фиксации методом защелкивания в тибиальном  компоненте. Размеры: 3-и типоразмеров (CD, EF, GH) по ширине и  5-ть (10, 12, 14, 17, 20  мм) типоразмеров по высоте.</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60</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165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14</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Хирургический цемент</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Должен собой представлять 2 стерильно упакованных компонента:</w:t>
              <w:br/>
              <w:t>
Один компонент: ампула, содержащая бесцветный жидкий мономер кисло-сладкого запаха, полная доза  20мл следующего состава:</w:t>
              <w:br/>
              <w:t>
Метилметакрилат (мономер) </w:t>
              <w:br/>
              <w:t>
-N, N-диметилтолидин </w:t>
              <w:br/>
              <w:t>
-Гидрокинон USP</w:t>
              <w:br/>
              <w:t>
Другой компонент: пакет полная доза 40гр мелко измельченного порошка ( плоские, скученные микроскопические хлопья; между хлопьями находится воздух, что способствует полному проникновению жидкого мономера) следующего состава:</w:t>
              <w:br/>
              <w:t>
 -Метилметакрилат–стирен кополимер </w:t>
              <w:br/>
              <w:t>
 -Полиметилметакрилат </w:t>
              <w:br/>
              <w:t>
 -Бария Сульфат Е.Р </w:t>
              <w:br/>
              <w:t>
Во время приготовления порошок и жидкость смешиваются, превращаясь в экзотермической реакции в полимерную форму, похожую на мягкую, гибкую, пастообразную массу. Температура экзотермической реакции не превышает 60˚С.</w:t>
              <w:br/>
              <w:t>
Должен обладать средней вязкостью. Костный цемент должен в процессе приготовления проходить через фазы низкой и фазу средней вязкости. Производитель должен официально разрешать применять цемент как в фазе низкой, так и в фазе средней вязкости. </w:t>
              <w:br/>
              <w:t>
Время работы</w:t>
              <w:br/>
              <w:t>
Должен иметь наивысшую устойчивость к компрессии и прочность на излом и наименьшую усадку и пористость.</w:t>
              <w:br/>
              <w:t>
Система является одноразовой и поставляется в стерильной упаковке</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169</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375" w:hRule="exact"/>
        </w:trPr>
        <w:tc>
          <w:tcPr>
            <w:tcW w:w="551" w:type="dxa"/>
            <w:shd w:val="clear" w:color="auto" w:fill="auto"/>
            <w:textDirection w:val="lrTb"/>
            <w:vAlign w:val="bottom"/>
          </w:tcPr>
          <w:p>
            <w:pPr>
              <w:rPr>
                <w:rFonts w:ascii="Arial" w:hAnsi="Arial"/>
                <w:sz w:val="16"/>
                <w:szCs w:val="16"/>
              </w:rPr>
            </w:pPr>
            <w:r/>
          </w:p>
        </w:tc>
        <w:tc>
          <w:tcPr>
            <w:tcW w:w="1483" w:type="dxa"/>
            <w:shd w:val="clear" w:color="auto" w:fill="auto"/>
            <w:textDirection w:val="lrTb"/>
            <w:vAlign w:val="bottom"/>
          </w:tcPr>
          <w:p>
            <w:pPr>
              <w:rPr>
                <w:rFonts w:ascii="Arial" w:hAnsi="Arial"/>
                <w:sz w:val="16"/>
                <w:szCs w:val="16"/>
              </w:rPr>
            </w:pPr>
            <w:r/>
          </w:p>
        </w:tc>
        <w:tc>
          <w:tcPr>
            <w:tcW w:w="1943" w:type="dxa"/>
            <w:shd w:val="clear" w:color="auto" w:fill="auto"/>
            <w:textDirection w:val="lrTb"/>
            <w:vAlign w:val="bottom"/>
          </w:tcPr>
          <w:p>
            <w:pPr>
              <w:rPr>
                <w:rFonts w:ascii="Arial" w:hAnsi="Arial"/>
                <w:sz w:val="16"/>
                <w:szCs w:val="16"/>
              </w:rPr>
            </w:pPr>
            <w:r/>
          </w:p>
        </w:tc>
        <w:tc>
          <w:tcPr>
            <w:tcW w:w="656" w:type="dxa"/>
            <w:shd w:val="clear" w:color="auto" w:fill="auto"/>
            <w:textDirection w:val="lrTb"/>
            <w:vAlign w:val="bottom"/>
          </w:tcPr>
          <w:p>
            <w:pPr>
              <w:rPr>
                <w:rFonts w:ascii="Arial" w:hAnsi="Arial"/>
                <w:sz w:val="16"/>
                <w:szCs w:val="16"/>
              </w:rPr>
            </w:pPr>
            <w:r/>
          </w:p>
        </w:tc>
        <w:tc>
          <w:tcPr>
            <w:tcW w:w="748" w:type="dxa"/>
            <w:shd w:val="clear" w:color="auto" w:fill="auto"/>
            <w:textDirection w:val="lrTb"/>
            <w:vAlign w:val="bottom"/>
          </w:tcPr>
          <w:p>
            <w:pPr>
              <w:rPr>
                <w:rFonts w:ascii="Arial" w:hAnsi="Arial"/>
                <w:sz w:val="16"/>
                <w:szCs w:val="16"/>
              </w:rPr>
            </w:pPr>
            <w:r/>
          </w:p>
        </w:tc>
        <w:tc>
          <w:tcPr>
            <w:tcW w:w="853" w:type="dxa"/>
            <w:shd w:val="clear" w:color="auto" w:fill="auto"/>
            <w:textDirection w:val="lrTb"/>
            <w:vAlign w:val="bottom"/>
          </w:tcPr>
          <w:p>
            <w:pPr>
              <w:rPr>
                <w:rFonts w:ascii="Arial" w:hAnsi="Arial"/>
                <w:sz w:val="16"/>
                <w:szCs w:val="16"/>
              </w:rPr>
            </w:pPr>
            <w:r/>
          </w:p>
        </w:tc>
        <w:tc>
          <w:tcPr>
            <w:tcW w:w="1221" w:type="dxa"/>
            <w:shd w:val="clear" w:color="auto" w:fill="auto"/>
            <w:textDirection w:val="lrTb"/>
            <w:vAlign w:val="bottom"/>
          </w:tcPr>
          <w:p>
            <w:pPr>
              <w:rPr>
                <w:rFonts w:ascii="Arial" w:hAnsi="Arial"/>
                <w:sz w:val="16"/>
                <w:szCs w:val="16"/>
              </w:rPr>
            </w:pPr>
            <w:r/>
          </w:p>
        </w:tc>
        <w:tc>
          <w:tcPr>
            <w:tcW w:w="1168" w:type="dxa"/>
            <w:shd w:val="clear" w:color="auto" w:fill="auto"/>
            <w:textDirection w:val="lrTb"/>
            <w:vAlign w:val="bottom"/>
          </w:tcPr>
          <w:p>
            <w:pPr>
              <w:rPr>
                <w:rFonts w:ascii="Arial" w:hAnsi="Arial"/>
                <w:sz w:val="16"/>
                <w:szCs w:val="16"/>
              </w:rPr>
            </w:pPr>
            <w:r/>
          </w:p>
        </w:tc>
        <w:tc>
          <w:tcPr>
            <w:tcW w:w="971" w:type="dxa"/>
            <w:shd w:val="clear" w:color="auto" w:fill="auto"/>
            <w:textDirection w:val="lrTb"/>
            <w:vAlign w:val="bottom"/>
          </w:tcPr>
          <w:p>
            <w:pPr>
              <w:rPr>
                <w:rFonts w:ascii="Arial" w:hAnsi="Arial"/>
                <w:sz w:val="16"/>
                <w:szCs w:val="16"/>
              </w:rPr>
            </w:pPr>
            <w:r/>
          </w:p>
        </w:tc>
        <w:tc>
          <w:tcPr>
            <w:tcW w:w="1116" w:type="dxa"/>
            <w:shd w:val="clear" w:color="auto" w:fill="auto"/>
            <w:textDirection w:val="lrTb"/>
            <w:vAlign w:val="bottom"/>
          </w:tcPr>
          <w:p>
            <w:pPr>
              <w:rPr>
                <w:rFonts w:ascii="Arial" w:hAnsi="Arial"/>
                <w:sz w:val="16"/>
                <w:szCs w:val="16"/>
              </w:rPr>
            </w:pPr>
            <w:r/>
          </w:p>
        </w:tc>
      </w:tr>
      <w:tr>
        <w:trPr>
          <w:trHeight w:val="375" w:hRule="exact"/>
        </w:trPr>
        <w:tc>
          <w:tcPr>
            <w:tcW w:w="10710" w:type="dxa"/>
            <w:gridSpan w:val="10"/>
            <w:shd w:val="clear" w:color="auto" w:fill="auto"/>
            <w:textDirection w:val="lrTb"/>
            <w:vAlign w:val="bottom"/>
          </w:tcPr>
          <w:p>
            <w:pPr>
              <w:wordWrap w:val="1"/>
              <w:jc w:val="left"/>
              <w:rPr>
                <w:rFonts w:ascii="Times New Roman" w:hAnsi="Times New Roman"/>
                <w:sz w:val="28"/>
                <w:szCs w:val="28"/>
              </w:rPr>
            </w:pPr>
            <w:r>
              <w:rPr>
                <w:rFonts w:ascii="Times New Roman" w:hAnsi="Times New Roman"/>
                <w:sz w:val="28"/>
                <w:szCs w:val="28"/>
              </w:rPr>
              <w:t xml:space="preserve">       Срок поставки: с момента заключения контракта до 31.12.2022, по заявкам заказчика..</w:t>
            </w:r>
          </w:p>
        </w:tc>
      </w:tr>
      <w:tr>
        <w:trPr>
          <w:trHeight w:val="120" w:hRule="exact"/>
        </w:trPr>
        <w:tc>
          <w:tcPr>
            <w:tcW w:w="551" w:type="dxa"/>
            <w:shd w:val="clear" w:color="auto" w:fill="auto"/>
            <w:textDirection w:val="lrTb"/>
            <w:vAlign w:val="bottom"/>
          </w:tcPr>
          <w:p>
            <w:pPr>
              <w:rPr>
                <w:rFonts w:ascii="Arial" w:hAnsi="Arial"/>
                <w:sz w:val="16"/>
                <w:szCs w:val="16"/>
              </w:rPr>
            </w:pPr>
            <w:r/>
          </w:p>
        </w:tc>
        <w:tc>
          <w:tcPr>
            <w:tcW w:w="1483" w:type="dxa"/>
            <w:shd w:val="clear" w:color="auto" w:fill="auto"/>
            <w:textDirection w:val="lrTb"/>
            <w:vAlign w:val="bottom"/>
          </w:tcPr>
          <w:p>
            <w:pPr>
              <w:rPr>
                <w:rFonts w:ascii="Arial" w:hAnsi="Arial"/>
                <w:sz w:val="16"/>
                <w:szCs w:val="16"/>
              </w:rPr>
            </w:pPr>
            <w:r/>
          </w:p>
        </w:tc>
        <w:tc>
          <w:tcPr>
            <w:tcW w:w="1943" w:type="dxa"/>
            <w:shd w:val="clear" w:color="auto" w:fill="auto"/>
            <w:textDirection w:val="lrTb"/>
            <w:vAlign w:val="bottom"/>
          </w:tcPr>
          <w:p>
            <w:pPr>
              <w:rPr>
                <w:rFonts w:ascii="Arial" w:hAnsi="Arial"/>
                <w:sz w:val="16"/>
                <w:szCs w:val="16"/>
              </w:rPr>
            </w:pPr>
            <w:r/>
          </w:p>
        </w:tc>
        <w:tc>
          <w:tcPr>
            <w:tcW w:w="656" w:type="dxa"/>
            <w:shd w:val="clear" w:color="auto" w:fill="auto"/>
            <w:textDirection w:val="lrTb"/>
            <w:vAlign w:val="bottom"/>
          </w:tcPr>
          <w:p>
            <w:pPr>
              <w:rPr>
                <w:rFonts w:ascii="Arial" w:hAnsi="Arial"/>
                <w:sz w:val="16"/>
                <w:szCs w:val="16"/>
              </w:rPr>
            </w:pPr>
            <w:r/>
          </w:p>
        </w:tc>
        <w:tc>
          <w:tcPr>
            <w:tcW w:w="748" w:type="dxa"/>
            <w:shd w:val="clear" w:color="auto" w:fill="auto"/>
            <w:textDirection w:val="lrTb"/>
            <w:vAlign w:val="bottom"/>
          </w:tcPr>
          <w:p>
            <w:pPr>
              <w:rPr>
                <w:rFonts w:ascii="Arial" w:hAnsi="Arial"/>
                <w:sz w:val="16"/>
                <w:szCs w:val="16"/>
              </w:rPr>
            </w:pPr>
            <w:r/>
          </w:p>
        </w:tc>
        <w:tc>
          <w:tcPr>
            <w:tcW w:w="853" w:type="dxa"/>
            <w:shd w:val="clear" w:color="auto" w:fill="auto"/>
            <w:textDirection w:val="lrTb"/>
            <w:vAlign w:val="bottom"/>
          </w:tcPr>
          <w:p>
            <w:pPr>
              <w:rPr>
                <w:rFonts w:ascii="Arial" w:hAnsi="Arial"/>
                <w:sz w:val="16"/>
                <w:szCs w:val="16"/>
              </w:rPr>
            </w:pPr>
            <w:r/>
          </w:p>
        </w:tc>
        <w:tc>
          <w:tcPr>
            <w:tcW w:w="1221" w:type="dxa"/>
            <w:shd w:val="clear" w:color="auto" w:fill="auto"/>
            <w:textDirection w:val="lrTb"/>
            <w:vAlign w:val="bottom"/>
          </w:tcPr>
          <w:p>
            <w:pPr>
              <w:rPr>
                <w:rFonts w:ascii="Arial" w:hAnsi="Arial"/>
                <w:sz w:val="16"/>
                <w:szCs w:val="16"/>
              </w:rPr>
            </w:pPr>
            <w:r/>
          </w:p>
        </w:tc>
        <w:tc>
          <w:tcPr>
            <w:tcW w:w="1168" w:type="dxa"/>
            <w:shd w:val="clear" w:color="auto" w:fill="auto"/>
            <w:textDirection w:val="lrTb"/>
            <w:vAlign w:val="bottom"/>
          </w:tcPr>
          <w:p>
            <w:pPr>
              <w:rPr>
                <w:rFonts w:ascii="Arial" w:hAnsi="Arial"/>
                <w:sz w:val="16"/>
                <w:szCs w:val="16"/>
              </w:rPr>
            </w:pPr>
            <w:r/>
          </w:p>
        </w:tc>
        <w:tc>
          <w:tcPr>
            <w:tcW w:w="971" w:type="dxa"/>
            <w:shd w:val="clear" w:color="auto" w:fill="auto"/>
            <w:textDirection w:val="lrTb"/>
            <w:vAlign w:val="bottom"/>
          </w:tcPr>
          <w:p>
            <w:pPr>
              <w:rPr>
                <w:rFonts w:ascii="Arial" w:hAnsi="Arial"/>
                <w:sz w:val="16"/>
                <w:szCs w:val="16"/>
              </w:rPr>
            </w:pPr>
            <w:r/>
          </w:p>
        </w:tc>
        <w:tc>
          <w:tcPr>
            <w:tcW w:w="1116" w:type="dxa"/>
            <w:shd w:val="clear" w:color="auto" w:fill="auto"/>
            <w:textDirection w:val="lrTb"/>
            <w:vAlign w:val="bottom"/>
          </w:tcPr>
          <w:p>
            <w:pPr>
              <w:rPr>
                <w:rFonts w:ascii="Arial" w:hAnsi="Arial"/>
                <w:sz w:val="16"/>
                <w:szCs w:val="16"/>
              </w:rPr>
            </w:pPr>
            <w:r/>
          </w:p>
        </w:tc>
      </w:tr>
      <w:tr>
        <w:trPr>
          <w:trHeight w:val="375" w:hRule="exact"/>
        </w:trPr>
        <w:tc>
          <w:tcPr>
            <w:tcW w:w="10710" w:type="dxa"/>
            <w:gridSpan w:val="10"/>
            <w:shd w:val="clear" w:color="auto" w:fill="auto"/>
            <w:textDirection w:val="lrTb"/>
            <w:vAlign w:val="bottom"/>
          </w:tcPr>
          <w:p>
            <w:pPr>
              <w:wordWrap w:val="1"/>
              <w:jc w:val="both"/>
              <w:rPr>
                <w:rFonts w:ascii="Times New Roman" w:hAnsi="Times New Roman"/>
                <w:sz w:val="28"/>
                <w:szCs w:val="28"/>
              </w:rPr>
            </w:pPr>
            <w:r>
              <w:rPr>
                <w:rFonts w:ascii="Times New Roman" w:hAnsi="Times New Roman"/>
                <w:sz w:val="28"/>
                <w:szCs w:val="28"/>
              </w:rPr>
              <w:t xml:space="preserve">       Цена должна быть указана с учетом доставки  до КГБУЗ «Краевая клиническая больница» г.Красноярск, ул. Партизана Железняка, 3. </w:t>
            </w:r>
          </w:p>
        </w:tc>
      </w:tr>
      <w:tr>
        <w:trPr>
          <w:trHeight w:val="120" w:hRule="exact"/>
        </w:trPr>
        <w:tc>
          <w:tcPr>
            <w:tcW w:w="551" w:type="dxa"/>
            <w:shd w:val="clear" w:color="auto" w:fill="auto"/>
            <w:textDirection w:val="lrTb"/>
            <w:vAlign w:val="bottom"/>
          </w:tcPr>
          <w:p>
            <w:pPr>
              <w:wordWrap w:val="1"/>
              <w:jc w:val="left"/>
              <w:rPr>
                <w:rFonts w:ascii="Times New Roman" w:hAnsi="Times New Roman"/>
                <w:sz w:val="28"/>
                <w:szCs w:val="28"/>
              </w:rPr>
            </w:pPr>
            <w:r/>
          </w:p>
        </w:tc>
        <w:tc>
          <w:tcPr>
            <w:tcW w:w="1483" w:type="dxa"/>
            <w:shd w:val="clear" w:color="auto" w:fill="auto"/>
            <w:textDirection w:val="lrTb"/>
            <w:vAlign w:val="bottom"/>
          </w:tcPr>
          <w:p>
            <w:pPr>
              <w:wordWrap w:val="1"/>
              <w:jc w:val="left"/>
              <w:rPr>
                <w:rFonts w:ascii="Times New Roman" w:hAnsi="Times New Roman"/>
                <w:sz w:val="28"/>
                <w:szCs w:val="28"/>
              </w:rPr>
            </w:pPr>
            <w:r/>
          </w:p>
        </w:tc>
        <w:tc>
          <w:tcPr>
            <w:tcW w:w="1943" w:type="dxa"/>
            <w:shd w:val="clear" w:color="auto" w:fill="auto"/>
            <w:textDirection w:val="lrTb"/>
            <w:vAlign w:val="bottom"/>
          </w:tcPr>
          <w:p>
            <w:pPr>
              <w:wordWrap w:val="1"/>
              <w:jc w:val="left"/>
              <w:rPr>
                <w:rFonts w:ascii="Times New Roman" w:hAnsi="Times New Roman"/>
                <w:sz w:val="28"/>
                <w:szCs w:val="28"/>
              </w:rPr>
            </w:pPr>
            <w:r/>
          </w:p>
        </w:tc>
        <w:tc>
          <w:tcPr>
            <w:tcW w:w="656" w:type="dxa"/>
            <w:shd w:val="clear" w:color="auto" w:fill="auto"/>
            <w:textDirection w:val="lrTb"/>
            <w:vAlign w:val="bottom"/>
          </w:tcPr>
          <w:p>
            <w:pPr>
              <w:wordWrap w:val="1"/>
              <w:jc w:val="left"/>
              <w:rPr>
                <w:rFonts w:ascii="Times New Roman" w:hAnsi="Times New Roman"/>
                <w:sz w:val="28"/>
                <w:szCs w:val="28"/>
              </w:rPr>
            </w:pPr>
            <w:r/>
          </w:p>
        </w:tc>
        <w:tc>
          <w:tcPr>
            <w:tcW w:w="748" w:type="dxa"/>
            <w:shd w:val="clear" w:color="auto" w:fill="auto"/>
            <w:textDirection w:val="lrTb"/>
            <w:vAlign w:val="bottom"/>
          </w:tcPr>
          <w:p>
            <w:pPr>
              <w:wordWrap w:val="1"/>
              <w:jc w:val="left"/>
              <w:rPr>
                <w:rFonts w:ascii="Times New Roman" w:hAnsi="Times New Roman"/>
                <w:sz w:val="28"/>
                <w:szCs w:val="28"/>
              </w:rPr>
            </w:pPr>
            <w:r/>
          </w:p>
        </w:tc>
        <w:tc>
          <w:tcPr>
            <w:tcW w:w="853" w:type="dxa"/>
            <w:shd w:val="clear" w:color="auto" w:fill="auto"/>
            <w:textDirection w:val="lrTb"/>
            <w:vAlign w:val="bottom"/>
          </w:tcPr>
          <w:p>
            <w:pPr>
              <w:wordWrap w:val="1"/>
              <w:jc w:val="left"/>
              <w:rPr>
                <w:rFonts w:ascii="Times New Roman" w:hAnsi="Times New Roman"/>
                <w:sz w:val="28"/>
                <w:szCs w:val="28"/>
              </w:rPr>
            </w:pPr>
            <w:r/>
          </w:p>
        </w:tc>
        <w:tc>
          <w:tcPr>
            <w:tcW w:w="1221" w:type="dxa"/>
            <w:shd w:val="clear" w:color="auto" w:fill="auto"/>
            <w:textDirection w:val="lrTb"/>
            <w:vAlign w:val="bottom"/>
          </w:tcPr>
          <w:p>
            <w:pPr>
              <w:wordWrap w:val="1"/>
              <w:jc w:val="left"/>
              <w:rPr>
                <w:rFonts w:ascii="Times New Roman" w:hAnsi="Times New Roman"/>
                <w:sz w:val="28"/>
                <w:szCs w:val="28"/>
              </w:rPr>
            </w:pPr>
            <w:r/>
          </w:p>
        </w:tc>
        <w:tc>
          <w:tcPr>
            <w:tcW w:w="1168" w:type="dxa"/>
            <w:shd w:val="clear" w:color="auto" w:fill="auto"/>
            <w:textDirection w:val="lrTb"/>
            <w:vAlign w:val="bottom"/>
          </w:tcPr>
          <w:p>
            <w:pPr>
              <w:rPr>
                <w:rFonts w:ascii="Arial" w:hAnsi="Arial"/>
                <w:sz w:val="16"/>
                <w:szCs w:val="16"/>
              </w:rPr>
            </w:pPr>
            <w:r/>
          </w:p>
        </w:tc>
        <w:tc>
          <w:tcPr>
            <w:tcW w:w="971" w:type="dxa"/>
            <w:shd w:val="clear" w:color="auto" w:fill="auto"/>
            <w:textDirection w:val="lrTb"/>
            <w:vAlign w:val="bottom"/>
          </w:tcPr>
          <w:p>
            <w:pPr>
              <w:rPr>
                <w:rFonts w:ascii="Arial" w:hAnsi="Arial"/>
                <w:sz w:val="16"/>
                <w:szCs w:val="16"/>
              </w:rPr>
            </w:pPr>
            <w:r/>
          </w:p>
        </w:tc>
        <w:tc>
          <w:tcPr>
            <w:tcW w:w="1116" w:type="dxa"/>
            <w:shd w:val="clear" w:color="auto" w:fill="auto"/>
            <w:textDirection w:val="lrTb"/>
            <w:vAlign w:val="bottom"/>
          </w:tcPr>
          <w:p>
            <w:pPr>
              <w:rPr>
                <w:rFonts w:ascii="Arial" w:hAnsi="Arial"/>
                <w:sz w:val="16"/>
                <w:szCs w:val="16"/>
              </w:rPr>
            </w:pPr>
            <w:r/>
          </w:p>
        </w:tc>
      </w:tr>
      <w:tr>
        <w:trPr>
          <w:trHeight w:val="705" w:hRule="exact"/>
        </w:trPr>
        <w:tc>
          <w:tcPr>
            <w:tcW w:w="10710" w:type="dxa"/>
            <w:gridSpan w:val="10"/>
            <w:shd w:val="clear" w:color="auto" w:fill="auto"/>
            <w:textDirection w:val="lrTb"/>
            <w:vAlign w:val="bottom"/>
          </w:tcPr>
          <w:p>
            <w:pPr>
              <w:wordWrap w:val="1"/>
              <w:jc w:val="both"/>
              <w:rPr>
                <w:rFonts w:ascii="Times New Roman" w:hAnsi="Times New Roman"/>
                <w:sz w:val="28"/>
                <w:szCs w:val="28"/>
              </w:rPr>
            </w:pPr>
            <w:r>
              <w:rPr>
                <w:rFonts w:ascii="Times New Roman" w:hAnsi="Times New Roman"/>
                <w:sz w:val="28"/>
                <w:szCs w:val="28"/>
              </w:rPr>
              <w:t xml:space="preserve">       Информацию необходимо направить по факсу +7 (391) 220-16-23, электронной почте zakupki@medgorod.ru  или по адресу г. Красноярск, ул. Партизана Железняка 3-б, отдел обеспечения государственных закупок, тел. 220-16-04</w:t>
            </w:r>
          </w:p>
        </w:tc>
      </w:tr>
      <w:tr>
        <w:trPr>
          <w:trHeight w:val="165" w:hRule="exact"/>
        </w:trPr>
        <w:tc>
          <w:tcPr>
            <w:tcW w:w="551" w:type="dxa"/>
            <w:shd w:val="clear" w:color="auto" w:fill="auto"/>
            <w:textDirection w:val="lrTb"/>
            <w:vAlign w:val="bottom"/>
          </w:tcPr>
          <w:p>
            <w:pPr>
              <w:jc w:val="left"/>
              <w:rPr>
                <w:rFonts w:ascii="Arial" w:hAnsi="Arial"/>
                <w:sz w:val="16"/>
                <w:szCs w:val="16"/>
              </w:rPr>
            </w:pPr>
            <w:r/>
          </w:p>
        </w:tc>
        <w:tc>
          <w:tcPr>
            <w:tcW w:w="1483" w:type="dxa"/>
            <w:shd w:val="clear" w:color="auto" w:fill="auto"/>
            <w:textDirection w:val="lrTb"/>
            <w:vAlign w:val="bottom"/>
          </w:tcPr>
          <w:p>
            <w:pPr>
              <w:jc w:val="left"/>
              <w:rPr>
                <w:rFonts w:ascii="Arial" w:hAnsi="Arial"/>
                <w:sz w:val="16"/>
                <w:szCs w:val="16"/>
              </w:rPr>
            </w:pPr>
            <w:r/>
          </w:p>
        </w:tc>
        <w:tc>
          <w:tcPr>
            <w:tcW w:w="1943" w:type="dxa"/>
            <w:shd w:val="clear" w:color="auto" w:fill="auto"/>
            <w:textDirection w:val="lrTb"/>
            <w:vAlign w:val="bottom"/>
          </w:tcPr>
          <w:p>
            <w:pPr>
              <w:jc w:val="left"/>
              <w:rPr>
                <w:rFonts w:ascii="Arial" w:hAnsi="Arial"/>
                <w:sz w:val="16"/>
                <w:szCs w:val="16"/>
              </w:rPr>
            </w:pPr>
            <w:r/>
          </w:p>
        </w:tc>
        <w:tc>
          <w:tcPr>
            <w:tcW w:w="656" w:type="dxa"/>
            <w:shd w:val="clear" w:color="auto" w:fill="auto"/>
            <w:textDirection w:val="lrTb"/>
            <w:vAlign w:val="bottom"/>
          </w:tcPr>
          <w:p>
            <w:pPr>
              <w:jc w:val="left"/>
              <w:rPr>
                <w:rFonts w:ascii="Arial" w:hAnsi="Arial"/>
                <w:sz w:val="16"/>
                <w:szCs w:val="16"/>
              </w:rPr>
            </w:pPr>
            <w:r/>
          </w:p>
        </w:tc>
        <w:tc>
          <w:tcPr>
            <w:tcW w:w="748" w:type="dxa"/>
            <w:shd w:val="clear" w:color="auto" w:fill="auto"/>
            <w:textDirection w:val="lrTb"/>
            <w:vAlign w:val="bottom"/>
          </w:tcPr>
          <w:p>
            <w:pPr>
              <w:jc w:val="left"/>
              <w:rPr>
                <w:rFonts w:ascii="Arial" w:hAnsi="Arial"/>
                <w:sz w:val="16"/>
                <w:szCs w:val="16"/>
              </w:rPr>
            </w:pPr>
            <w:r/>
          </w:p>
        </w:tc>
        <w:tc>
          <w:tcPr>
            <w:tcW w:w="853" w:type="dxa"/>
            <w:shd w:val="clear" w:color="auto" w:fill="auto"/>
            <w:textDirection w:val="lrTb"/>
            <w:vAlign w:val="bottom"/>
          </w:tcPr>
          <w:p>
            <w:pPr>
              <w:jc w:val="left"/>
              <w:rPr>
                <w:rFonts w:ascii="Arial" w:hAnsi="Arial"/>
                <w:sz w:val="16"/>
                <w:szCs w:val="16"/>
              </w:rPr>
            </w:pPr>
            <w:r/>
          </w:p>
        </w:tc>
        <w:tc>
          <w:tcPr>
            <w:tcW w:w="1221" w:type="dxa"/>
            <w:shd w:val="clear" w:color="auto" w:fill="auto"/>
            <w:textDirection w:val="lrTb"/>
            <w:vAlign w:val="bottom"/>
          </w:tcPr>
          <w:p>
            <w:pPr>
              <w:jc w:val="left"/>
              <w:rPr>
                <w:rFonts w:ascii="Arial" w:hAnsi="Arial"/>
                <w:sz w:val="16"/>
                <w:szCs w:val="16"/>
              </w:rPr>
            </w:pPr>
            <w:r/>
          </w:p>
        </w:tc>
        <w:tc>
          <w:tcPr>
            <w:tcW w:w="1168" w:type="dxa"/>
            <w:shd w:val="clear" w:color="auto" w:fill="auto"/>
            <w:textDirection w:val="lrTb"/>
            <w:vAlign w:val="bottom"/>
          </w:tcPr>
          <w:p>
            <w:pPr>
              <w:jc w:val="left"/>
              <w:rPr>
                <w:rFonts w:ascii="Arial" w:hAnsi="Arial"/>
                <w:sz w:val="16"/>
                <w:szCs w:val="16"/>
              </w:rPr>
            </w:pPr>
            <w:r/>
          </w:p>
        </w:tc>
        <w:tc>
          <w:tcPr>
            <w:tcW w:w="971" w:type="dxa"/>
            <w:shd w:val="clear" w:color="auto" w:fill="auto"/>
            <w:textDirection w:val="lrTb"/>
            <w:vAlign w:val="bottom"/>
          </w:tcPr>
          <w:p>
            <w:pPr>
              <w:jc w:val="left"/>
              <w:rPr>
                <w:rFonts w:ascii="Arial" w:hAnsi="Arial"/>
                <w:sz w:val="16"/>
                <w:szCs w:val="16"/>
              </w:rPr>
            </w:pPr>
            <w:r/>
          </w:p>
        </w:tc>
        <w:tc>
          <w:tcPr>
            <w:tcW w:w="1116" w:type="dxa"/>
            <w:shd w:val="clear" w:color="auto" w:fill="auto"/>
            <w:textDirection w:val="lrTb"/>
            <w:vAlign w:val="bottom"/>
          </w:tcPr>
          <w:p>
            <w:pPr>
              <w:jc w:val="left"/>
              <w:rPr>
                <w:rFonts w:ascii="Arial" w:hAnsi="Arial"/>
                <w:sz w:val="16"/>
                <w:szCs w:val="16"/>
              </w:rPr>
            </w:pPr>
            <w:r/>
          </w:p>
        </w:tc>
      </w:tr>
      <w:tr>
        <w:trPr>
          <w:trHeight w:val="375" w:hRule="exact"/>
        </w:trPr>
        <w:tc>
          <w:tcPr>
            <w:tcW w:w="10710" w:type="dxa"/>
            <w:gridSpan w:val="10"/>
            <w:shd w:val="clear" w:color="auto" w:fill="auto"/>
            <w:textDirection w:val="lrTb"/>
            <w:vAlign w:val="bottom"/>
          </w:tcPr>
          <w:p>
            <w:pPr>
              <w:jc w:val="left"/>
              <w:rPr>
                <w:rFonts w:ascii="Times New Roman" w:hAnsi="Times New Roman"/>
                <w:sz w:val="28"/>
                <w:szCs w:val="28"/>
              </w:rPr>
            </w:pPr>
            <w:r>
              <w:rPr>
                <w:rFonts w:ascii="Times New Roman" w:hAnsi="Times New Roman"/>
                <w:sz w:val="28"/>
                <w:szCs w:val="28"/>
              </w:rPr>
              <w:t xml:space="preserve">       Предложения принимаются в срок до 28.03.2022 17:00:00 по местному времени. </w:t>
            </w:r>
          </w:p>
        </w:tc>
      </w:tr>
      <w:tr>
        <w:trPr>
          <w:trHeight w:val="225" w:hRule="exact"/>
        </w:trPr>
        <w:tc>
          <w:tcPr>
            <w:tcW w:w="551" w:type="dxa"/>
            <w:shd w:val="clear" w:color="auto" w:fill="auto"/>
            <w:textDirection w:val="lrTb"/>
            <w:vAlign w:val="bottom"/>
          </w:tcPr>
          <w:p>
            <w:pPr>
              <w:rPr>
                <w:rFonts w:ascii="Arial" w:hAnsi="Arial"/>
                <w:sz w:val="16"/>
                <w:szCs w:val="16"/>
              </w:rPr>
            </w:pPr>
            <w:r/>
          </w:p>
        </w:tc>
        <w:tc>
          <w:tcPr>
            <w:tcW w:w="1483" w:type="dxa"/>
            <w:shd w:val="clear" w:color="auto" w:fill="auto"/>
            <w:textDirection w:val="lrTb"/>
            <w:vAlign w:val="bottom"/>
          </w:tcPr>
          <w:p>
            <w:pPr>
              <w:rPr>
                <w:rFonts w:ascii="Arial" w:hAnsi="Arial"/>
                <w:sz w:val="16"/>
                <w:szCs w:val="16"/>
              </w:rPr>
            </w:pPr>
            <w:r/>
          </w:p>
        </w:tc>
        <w:tc>
          <w:tcPr>
            <w:tcW w:w="1943" w:type="dxa"/>
            <w:shd w:val="clear" w:color="auto" w:fill="auto"/>
            <w:textDirection w:val="lrTb"/>
            <w:vAlign w:val="bottom"/>
          </w:tcPr>
          <w:p>
            <w:pPr>
              <w:rPr>
                <w:rFonts w:ascii="Arial" w:hAnsi="Arial"/>
                <w:sz w:val="16"/>
                <w:szCs w:val="16"/>
              </w:rPr>
            </w:pPr>
            <w:r/>
          </w:p>
        </w:tc>
        <w:tc>
          <w:tcPr>
            <w:tcW w:w="656" w:type="dxa"/>
            <w:shd w:val="clear" w:color="auto" w:fill="auto"/>
            <w:textDirection w:val="lrTb"/>
            <w:vAlign w:val="bottom"/>
          </w:tcPr>
          <w:p>
            <w:pPr>
              <w:rPr>
                <w:rFonts w:ascii="Arial" w:hAnsi="Arial"/>
                <w:sz w:val="16"/>
                <w:szCs w:val="16"/>
              </w:rPr>
            </w:pPr>
            <w:r/>
          </w:p>
        </w:tc>
        <w:tc>
          <w:tcPr>
            <w:tcW w:w="748" w:type="dxa"/>
            <w:shd w:val="clear" w:color="auto" w:fill="auto"/>
            <w:textDirection w:val="lrTb"/>
            <w:vAlign w:val="bottom"/>
          </w:tcPr>
          <w:p>
            <w:pPr>
              <w:rPr>
                <w:rFonts w:ascii="Arial" w:hAnsi="Arial"/>
                <w:sz w:val="16"/>
                <w:szCs w:val="16"/>
              </w:rPr>
            </w:pPr>
            <w:r/>
          </w:p>
        </w:tc>
        <w:tc>
          <w:tcPr>
            <w:tcW w:w="853" w:type="dxa"/>
            <w:shd w:val="clear" w:color="auto" w:fill="auto"/>
            <w:textDirection w:val="lrTb"/>
            <w:vAlign w:val="bottom"/>
          </w:tcPr>
          <w:p>
            <w:pPr>
              <w:rPr>
                <w:rFonts w:ascii="Arial" w:hAnsi="Arial"/>
                <w:sz w:val="16"/>
                <w:szCs w:val="16"/>
              </w:rPr>
            </w:pPr>
            <w:r/>
          </w:p>
        </w:tc>
        <w:tc>
          <w:tcPr>
            <w:tcW w:w="1221" w:type="dxa"/>
            <w:shd w:val="clear" w:color="auto" w:fill="auto"/>
            <w:textDirection w:val="lrTb"/>
            <w:vAlign w:val="bottom"/>
          </w:tcPr>
          <w:p>
            <w:pPr>
              <w:rPr>
                <w:rFonts w:ascii="Arial" w:hAnsi="Arial"/>
                <w:sz w:val="16"/>
                <w:szCs w:val="16"/>
              </w:rPr>
            </w:pPr>
            <w:r/>
          </w:p>
        </w:tc>
        <w:tc>
          <w:tcPr>
            <w:tcW w:w="1168" w:type="dxa"/>
            <w:shd w:val="clear" w:color="auto" w:fill="auto"/>
            <w:textDirection w:val="lrTb"/>
            <w:vAlign w:val="bottom"/>
          </w:tcPr>
          <w:p>
            <w:pPr>
              <w:rPr>
                <w:rFonts w:ascii="Arial" w:hAnsi="Arial"/>
                <w:sz w:val="16"/>
                <w:szCs w:val="16"/>
              </w:rPr>
            </w:pPr>
            <w:r/>
          </w:p>
        </w:tc>
        <w:tc>
          <w:tcPr>
            <w:tcW w:w="971" w:type="dxa"/>
            <w:shd w:val="clear" w:color="auto" w:fill="auto"/>
            <w:textDirection w:val="lrTb"/>
            <w:vAlign w:val="bottom"/>
          </w:tcPr>
          <w:p>
            <w:pPr>
              <w:rPr>
                <w:rFonts w:ascii="Arial" w:hAnsi="Arial"/>
                <w:sz w:val="16"/>
                <w:szCs w:val="16"/>
              </w:rPr>
            </w:pPr>
            <w:r/>
          </w:p>
        </w:tc>
        <w:tc>
          <w:tcPr>
            <w:tcW w:w="1116" w:type="dxa"/>
            <w:shd w:val="clear" w:color="auto" w:fill="auto"/>
            <w:textDirection w:val="lrTb"/>
            <w:vAlign w:val="bottom"/>
          </w:tcPr>
          <w:p>
            <w:pPr>
              <w:rPr>
                <w:rFonts w:ascii="Arial" w:hAnsi="Arial"/>
                <w:sz w:val="16"/>
                <w:szCs w:val="16"/>
              </w:rPr>
            </w:pPr>
            <w:r/>
          </w:p>
        </w:tc>
      </w:tr>
      <w:tr>
        <w:trPr>
          <w:trHeight w:val="375" w:hRule="exact"/>
        </w:trPr>
        <w:tc>
          <w:tcPr>
            <w:tcW w:w="10710" w:type="dxa"/>
            <w:gridSpan w:val="10"/>
            <w:shd w:val="clear" w:color="auto" w:fill="auto"/>
            <w:textDirection w:val="lrTb"/>
            <w:vAlign w:val="bottom"/>
          </w:tcPr>
          <w:p>
            <w:pPr>
              <w:jc w:val="left"/>
              <w:rPr>
                <w:rFonts w:ascii="Times New Roman" w:hAnsi="Times New Roman"/>
                <w:sz w:val="28"/>
                <w:szCs w:val="28"/>
              </w:rPr>
            </w:pPr>
            <w:r>
              <w:rPr>
                <w:rFonts w:ascii="Times New Roman" w:hAnsi="Times New Roman"/>
                <w:sz w:val="28"/>
                <w:szCs w:val="28"/>
              </w:rPr>
              <w:t>Руководитель контрактной службы________________________/Алешечкина Е.А./</w:t>
            </w:r>
          </w:p>
        </w:tc>
      </w:tr>
      <w:tr>
        <w:trPr>
          <w:trHeight w:val="225" w:hRule="exact"/>
        </w:trPr>
        <w:tc>
          <w:tcPr>
            <w:tcW w:w="551" w:type="dxa"/>
            <w:shd w:val="clear" w:color="auto" w:fill="auto"/>
            <w:textDirection w:val="lrTb"/>
            <w:vAlign w:val="bottom"/>
          </w:tcPr>
          <w:p>
            <w:pPr>
              <w:rPr>
                <w:rFonts w:ascii="Arial" w:hAnsi="Arial"/>
                <w:sz w:val="16"/>
                <w:szCs w:val="16"/>
              </w:rPr>
            </w:pPr>
            <w:r/>
          </w:p>
        </w:tc>
        <w:tc>
          <w:tcPr>
            <w:tcW w:w="1483" w:type="dxa"/>
            <w:shd w:val="clear" w:color="auto" w:fill="auto"/>
            <w:textDirection w:val="lrTb"/>
            <w:vAlign w:val="bottom"/>
          </w:tcPr>
          <w:p>
            <w:pPr>
              <w:rPr>
                <w:rFonts w:ascii="Arial" w:hAnsi="Arial"/>
                <w:sz w:val="16"/>
                <w:szCs w:val="16"/>
              </w:rPr>
            </w:pPr>
            <w:r/>
          </w:p>
        </w:tc>
        <w:tc>
          <w:tcPr>
            <w:tcW w:w="1943" w:type="dxa"/>
            <w:shd w:val="clear" w:color="auto" w:fill="auto"/>
            <w:textDirection w:val="lrTb"/>
            <w:vAlign w:val="bottom"/>
          </w:tcPr>
          <w:p>
            <w:pPr>
              <w:rPr>
                <w:rFonts w:ascii="Arial" w:hAnsi="Arial"/>
                <w:sz w:val="16"/>
                <w:szCs w:val="16"/>
              </w:rPr>
            </w:pPr>
            <w:r/>
          </w:p>
        </w:tc>
        <w:tc>
          <w:tcPr>
            <w:tcW w:w="656" w:type="dxa"/>
            <w:shd w:val="clear" w:color="auto" w:fill="auto"/>
            <w:textDirection w:val="lrTb"/>
            <w:vAlign w:val="bottom"/>
          </w:tcPr>
          <w:p>
            <w:pPr>
              <w:rPr>
                <w:rFonts w:ascii="Arial" w:hAnsi="Arial"/>
                <w:sz w:val="16"/>
                <w:szCs w:val="16"/>
              </w:rPr>
            </w:pPr>
            <w:r/>
          </w:p>
        </w:tc>
        <w:tc>
          <w:tcPr>
            <w:tcW w:w="748" w:type="dxa"/>
            <w:shd w:val="clear" w:color="auto" w:fill="auto"/>
            <w:textDirection w:val="lrTb"/>
            <w:vAlign w:val="bottom"/>
          </w:tcPr>
          <w:p>
            <w:pPr>
              <w:rPr>
                <w:rFonts w:ascii="Arial" w:hAnsi="Arial"/>
                <w:sz w:val="16"/>
                <w:szCs w:val="16"/>
              </w:rPr>
            </w:pPr>
            <w:r/>
          </w:p>
        </w:tc>
        <w:tc>
          <w:tcPr>
            <w:tcW w:w="853" w:type="dxa"/>
            <w:shd w:val="clear" w:color="auto" w:fill="auto"/>
            <w:textDirection w:val="lrTb"/>
            <w:vAlign w:val="bottom"/>
          </w:tcPr>
          <w:p>
            <w:pPr>
              <w:rPr>
                <w:rFonts w:ascii="Arial" w:hAnsi="Arial"/>
                <w:sz w:val="16"/>
                <w:szCs w:val="16"/>
              </w:rPr>
            </w:pPr>
            <w:r/>
          </w:p>
        </w:tc>
        <w:tc>
          <w:tcPr>
            <w:tcW w:w="1221" w:type="dxa"/>
            <w:shd w:val="clear" w:color="auto" w:fill="auto"/>
            <w:textDirection w:val="lrTb"/>
            <w:vAlign w:val="bottom"/>
          </w:tcPr>
          <w:p>
            <w:pPr>
              <w:rPr>
                <w:rFonts w:ascii="Arial" w:hAnsi="Arial"/>
                <w:sz w:val="16"/>
                <w:szCs w:val="16"/>
              </w:rPr>
            </w:pPr>
            <w:r/>
          </w:p>
        </w:tc>
        <w:tc>
          <w:tcPr>
            <w:tcW w:w="1168" w:type="dxa"/>
            <w:shd w:val="clear" w:color="auto" w:fill="auto"/>
            <w:textDirection w:val="lrTb"/>
            <w:vAlign w:val="bottom"/>
          </w:tcPr>
          <w:p>
            <w:pPr>
              <w:rPr>
                <w:rFonts w:ascii="Arial" w:hAnsi="Arial"/>
                <w:sz w:val="16"/>
                <w:szCs w:val="16"/>
              </w:rPr>
            </w:pPr>
            <w:r/>
          </w:p>
        </w:tc>
        <w:tc>
          <w:tcPr>
            <w:tcW w:w="971" w:type="dxa"/>
            <w:shd w:val="clear" w:color="auto" w:fill="auto"/>
            <w:textDirection w:val="lrTb"/>
            <w:vAlign w:val="bottom"/>
          </w:tcPr>
          <w:p>
            <w:pPr>
              <w:rPr>
                <w:rFonts w:ascii="Arial" w:hAnsi="Arial"/>
                <w:sz w:val="16"/>
                <w:szCs w:val="16"/>
              </w:rPr>
            </w:pPr>
            <w:r/>
          </w:p>
        </w:tc>
        <w:tc>
          <w:tcPr>
            <w:tcW w:w="1116" w:type="dxa"/>
            <w:shd w:val="clear" w:color="auto" w:fill="auto"/>
            <w:textDirection w:val="lrTb"/>
            <w:vAlign w:val="bottom"/>
          </w:tcPr>
          <w:p>
            <w:pPr>
              <w:rPr>
                <w:rFonts w:ascii="Arial" w:hAnsi="Arial"/>
                <w:sz w:val="16"/>
                <w:szCs w:val="16"/>
              </w:rPr>
            </w:pPr>
            <w:r/>
          </w:p>
        </w:tc>
      </w:tr>
      <w:tr>
        <w:trPr>
          <w:trHeight w:val="225" w:hRule="exact"/>
        </w:trPr>
        <w:tc>
          <w:tcPr>
            <w:tcW w:w="551" w:type="dxa"/>
            <w:shd w:val="clear" w:color="auto" w:fill="auto"/>
            <w:textDirection w:val="lrTb"/>
            <w:vAlign w:val="bottom"/>
          </w:tcPr>
          <w:p>
            <w:pPr>
              <w:rPr>
                <w:rFonts w:ascii="Arial" w:hAnsi="Arial"/>
                <w:sz w:val="16"/>
                <w:szCs w:val="16"/>
              </w:rPr>
            </w:pPr>
            <w:r/>
          </w:p>
        </w:tc>
        <w:tc>
          <w:tcPr>
            <w:tcW w:w="1483" w:type="dxa"/>
            <w:shd w:val="clear" w:color="auto" w:fill="auto"/>
            <w:textDirection w:val="lrTb"/>
            <w:vAlign w:val="bottom"/>
          </w:tcPr>
          <w:p>
            <w:pPr>
              <w:rPr>
                <w:rFonts w:ascii="Arial" w:hAnsi="Arial"/>
                <w:sz w:val="16"/>
                <w:szCs w:val="16"/>
              </w:rPr>
            </w:pPr>
            <w:r/>
          </w:p>
        </w:tc>
        <w:tc>
          <w:tcPr>
            <w:tcW w:w="1943" w:type="dxa"/>
            <w:shd w:val="clear" w:color="auto" w:fill="auto"/>
            <w:textDirection w:val="lrTb"/>
            <w:vAlign w:val="bottom"/>
          </w:tcPr>
          <w:p>
            <w:pPr>
              <w:rPr>
                <w:rFonts w:ascii="Arial" w:hAnsi="Arial"/>
                <w:sz w:val="16"/>
                <w:szCs w:val="16"/>
              </w:rPr>
            </w:pPr>
            <w:r/>
          </w:p>
        </w:tc>
        <w:tc>
          <w:tcPr>
            <w:tcW w:w="656" w:type="dxa"/>
            <w:shd w:val="clear" w:color="auto" w:fill="auto"/>
            <w:textDirection w:val="lrTb"/>
            <w:vAlign w:val="bottom"/>
          </w:tcPr>
          <w:p>
            <w:pPr>
              <w:rPr>
                <w:rFonts w:ascii="Arial" w:hAnsi="Arial"/>
                <w:sz w:val="16"/>
                <w:szCs w:val="16"/>
              </w:rPr>
            </w:pPr>
            <w:r/>
          </w:p>
        </w:tc>
        <w:tc>
          <w:tcPr>
            <w:tcW w:w="748" w:type="dxa"/>
            <w:shd w:val="clear" w:color="auto" w:fill="auto"/>
            <w:textDirection w:val="lrTb"/>
            <w:vAlign w:val="bottom"/>
          </w:tcPr>
          <w:p>
            <w:pPr>
              <w:rPr>
                <w:rFonts w:ascii="Arial" w:hAnsi="Arial"/>
                <w:sz w:val="16"/>
                <w:szCs w:val="16"/>
              </w:rPr>
            </w:pPr>
            <w:r/>
          </w:p>
        </w:tc>
        <w:tc>
          <w:tcPr>
            <w:tcW w:w="853" w:type="dxa"/>
            <w:shd w:val="clear" w:color="auto" w:fill="auto"/>
            <w:textDirection w:val="lrTb"/>
            <w:vAlign w:val="bottom"/>
          </w:tcPr>
          <w:p>
            <w:pPr>
              <w:rPr>
                <w:rFonts w:ascii="Arial" w:hAnsi="Arial"/>
                <w:sz w:val="16"/>
                <w:szCs w:val="16"/>
              </w:rPr>
            </w:pPr>
            <w:r/>
          </w:p>
        </w:tc>
        <w:tc>
          <w:tcPr>
            <w:tcW w:w="1221" w:type="dxa"/>
            <w:shd w:val="clear" w:color="auto" w:fill="auto"/>
            <w:textDirection w:val="lrTb"/>
            <w:vAlign w:val="bottom"/>
          </w:tcPr>
          <w:p>
            <w:pPr>
              <w:rPr>
                <w:rFonts w:ascii="Arial" w:hAnsi="Arial"/>
                <w:sz w:val="16"/>
                <w:szCs w:val="16"/>
              </w:rPr>
            </w:pPr>
            <w:r/>
          </w:p>
        </w:tc>
        <w:tc>
          <w:tcPr>
            <w:tcW w:w="1168" w:type="dxa"/>
            <w:shd w:val="clear" w:color="auto" w:fill="auto"/>
            <w:textDirection w:val="lrTb"/>
            <w:vAlign w:val="bottom"/>
          </w:tcPr>
          <w:p>
            <w:pPr>
              <w:rPr>
                <w:rFonts w:ascii="Arial" w:hAnsi="Arial"/>
                <w:sz w:val="16"/>
                <w:szCs w:val="16"/>
              </w:rPr>
            </w:pPr>
            <w:r/>
          </w:p>
        </w:tc>
        <w:tc>
          <w:tcPr>
            <w:tcW w:w="971" w:type="dxa"/>
            <w:shd w:val="clear" w:color="auto" w:fill="auto"/>
            <w:textDirection w:val="lrTb"/>
            <w:vAlign w:val="bottom"/>
          </w:tcPr>
          <w:p>
            <w:pPr>
              <w:rPr>
                <w:rFonts w:ascii="Arial" w:hAnsi="Arial"/>
                <w:sz w:val="16"/>
                <w:szCs w:val="16"/>
              </w:rPr>
            </w:pPr>
            <w:r/>
          </w:p>
        </w:tc>
        <w:tc>
          <w:tcPr>
            <w:tcW w:w="1116" w:type="dxa"/>
            <w:shd w:val="clear" w:color="auto" w:fill="auto"/>
            <w:textDirection w:val="lrTb"/>
            <w:vAlign w:val="bottom"/>
          </w:tcPr>
          <w:p>
            <w:pPr>
              <w:rPr>
                <w:rFonts w:ascii="Arial" w:hAnsi="Arial"/>
                <w:sz w:val="16"/>
                <w:szCs w:val="16"/>
              </w:rPr>
            </w:pPr>
            <w:r/>
          </w:p>
        </w:tc>
      </w:tr>
      <w:tr>
        <w:trPr>
          <w:trHeight w:val="225" w:hRule="exact"/>
        </w:trPr>
        <w:tc>
          <w:tcPr>
            <w:tcW w:w="551" w:type="dxa"/>
            <w:shd w:val="clear" w:color="auto" w:fill="auto"/>
            <w:textDirection w:val="lrTb"/>
            <w:vAlign w:val="bottom"/>
          </w:tcPr>
          <w:p>
            <w:pPr>
              <w:rPr>
                <w:rFonts w:ascii="Arial" w:hAnsi="Arial"/>
                <w:sz w:val="16"/>
                <w:szCs w:val="16"/>
              </w:rPr>
            </w:pPr>
            <w:r/>
          </w:p>
        </w:tc>
        <w:tc>
          <w:tcPr>
            <w:tcW w:w="1483" w:type="dxa"/>
            <w:shd w:val="clear" w:color="auto" w:fill="auto"/>
            <w:textDirection w:val="lrTb"/>
            <w:vAlign w:val="bottom"/>
          </w:tcPr>
          <w:p>
            <w:pPr>
              <w:rPr>
                <w:rFonts w:ascii="Arial" w:hAnsi="Arial"/>
                <w:sz w:val="16"/>
                <w:szCs w:val="16"/>
              </w:rPr>
            </w:pPr>
            <w:r/>
          </w:p>
        </w:tc>
        <w:tc>
          <w:tcPr>
            <w:tcW w:w="1943" w:type="dxa"/>
            <w:shd w:val="clear" w:color="auto" w:fill="auto"/>
            <w:textDirection w:val="lrTb"/>
            <w:vAlign w:val="bottom"/>
          </w:tcPr>
          <w:p>
            <w:pPr>
              <w:rPr>
                <w:rFonts w:ascii="Arial" w:hAnsi="Arial"/>
                <w:sz w:val="16"/>
                <w:szCs w:val="16"/>
              </w:rPr>
            </w:pPr>
            <w:r/>
          </w:p>
        </w:tc>
        <w:tc>
          <w:tcPr>
            <w:tcW w:w="656" w:type="dxa"/>
            <w:shd w:val="clear" w:color="auto" w:fill="auto"/>
            <w:textDirection w:val="lrTb"/>
            <w:vAlign w:val="bottom"/>
          </w:tcPr>
          <w:p>
            <w:pPr>
              <w:rPr>
                <w:rFonts w:ascii="Arial" w:hAnsi="Arial"/>
                <w:sz w:val="16"/>
                <w:szCs w:val="16"/>
              </w:rPr>
            </w:pPr>
            <w:r/>
          </w:p>
        </w:tc>
        <w:tc>
          <w:tcPr>
            <w:tcW w:w="748" w:type="dxa"/>
            <w:shd w:val="clear" w:color="auto" w:fill="auto"/>
            <w:textDirection w:val="lrTb"/>
            <w:vAlign w:val="bottom"/>
          </w:tcPr>
          <w:p>
            <w:pPr>
              <w:rPr>
                <w:rFonts w:ascii="Arial" w:hAnsi="Arial"/>
                <w:sz w:val="16"/>
                <w:szCs w:val="16"/>
              </w:rPr>
            </w:pPr>
            <w:r/>
          </w:p>
        </w:tc>
        <w:tc>
          <w:tcPr>
            <w:tcW w:w="853" w:type="dxa"/>
            <w:shd w:val="clear" w:color="auto" w:fill="auto"/>
            <w:textDirection w:val="lrTb"/>
            <w:vAlign w:val="bottom"/>
          </w:tcPr>
          <w:p>
            <w:pPr>
              <w:rPr>
                <w:rFonts w:ascii="Arial" w:hAnsi="Arial"/>
                <w:sz w:val="16"/>
                <w:szCs w:val="16"/>
              </w:rPr>
            </w:pPr>
            <w:r/>
          </w:p>
        </w:tc>
        <w:tc>
          <w:tcPr>
            <w:tcW w:w="1221" w:type="dxa"/>
            <w:shd w:val="clear" w:color="auto" w:fill="auto"/>
            <w:textDirection w:val="lrTb"/>
            <w:vAlign w:val="bottom"/>
          </w:tcPr>
          <w:p>
            <w:pPr>
              <w:rPr>
                <w:rFonts w:ascii="Arial" w:hAnsi="Arial"/>
                <w:sz w:val="16"/>
                <w:szCs w:val="16"/>
              </w:rPr>
            </w:pPr>
            <w:r/>
          </w:p>
        </w:tc>
        <w:tc>
          <w:tcPr>
            <w:tcW w:w="1168" w:type="dxa"/>
            <w:shd w:val="clear" w:color="auto" w:fill="auto"/>
            <w:textDirection w:val="lrTb"/>
            <w:vAlign w:val="bottom"/>
          </w:tcPr>
          <w:p>
            <w:pPr>
              <w:rPr>
                <w:rFonts w:ascii="Arial" w:hAnsi="Arial"/>
                <w:sz w:val="16"/>
                <w:szCs w:val="16"/>
              </w:rPr>
            </w:pPr>
            <w:r/>
          </w:p>
        </w:tc>
        <w:tc>
          <w:tcPr>
            <w:tcW w:w="971" w:type="dxa"/>
            <w:shd w:val="clear" w:color="auto" w:fill="auto"/>
            <w:textDirection w:val="lrTb"/>
            <w:vAlign w:val="bottom"/>
          </w:tcPr>
          <w:p>
            <w:pPr>
              <w:rPr>
                <w:rFonts w:ascii="Arial" w:hAnsi="Arial"/>
                <w:sz w:val="16"/>
                <w:szCs w:val="16"/>
              </w:rPr>
            </w:pPr>
            <w:r/>
          </w:p>
        </w:tc>
        <w:tc>
          <w:tcPr>
            <w:tcW w:w="1116" w:type="dxa"/>
            <w:shd w:val="clear" w:color="auto" w:fill="auto"/>
            <w:textDirection w:val="lrTb"/>
            <w:vAlign w:val="bottom"/>
          </w:tcPr>
          <w:p>
            <w:pPr>
              <w:rPr>
                <w:rFonts w:ascii="Arial" w:hAnsi="Arial"/>
                <w:sz w:val="16"/>
                <w:szCs w:val="16"/>
              </w:rPr>
            </w:pPr>
            <w:r/>
          </w:p>
        </w:tc>
      </w:tr>
      <w:tr>
        <w:trPr>
          <w:trHeight w:val="375" w:hRule="exact"/>
        </w:trPr>
        <w:tc>
          <w:tcPr>
            <w:tcW w:w="10710" w:type="dxa"/>
            <w:gridSpan w:val="10"/>
            <w:shd w:val="clear" w:color="auto" w:fill="auto"/>
            <w:textDirection w:val="lrTb"/>
            <w:vAlign w:val="bottom"/>
          </w:tcPr>
          <w:p>
            <w:pPr>
              <w:jc w:val="left"/>
              <w:rPr>
                <w:rFonts w:ascii="Times New Roman" w:hAnsi="Times New Roman"/>
                <w:sz w:val="28"/>
                <w:szCs w:val="28"/>
              </w:rPr>
            </w:pPr>
            <w:r>
              <w:rPr>
                <w:rFonts w:ascii="Times New Roman" w:hAnsi="Times New Roman"/>
                <w:sz w:val="28"/>
                <w:szCs w:val="28"/>
              </w:rPr>
              <w:t>Исполнитель:</w:t>
            </w:r>
          </w:p>
        </w:tc>
      </w:tr>
      <w:tr>
        <w:trPr>
          <w:trHeight w:val="375" w:hRule="exact"/>
        </w:trPr>
        <w:tc>
          <w:tcPr>
            <w:tcW w:w="10710" w:type="dxa"/>
            <w:gridSpan w:val="10"/>
            <w:shd w:val="clear" w:color="auto" w:fill="auto"/>
            <w:textDirection w:val="lrTb"/>
            <w:vAlign w:val="bottom"/>
          </w:tcPr>
          <w:p>
            <w:pPr>
              <w:jc w:val="left"/>
              <w:rPr>
                <w:rFonts w:ascii="Times New Roman" w:hAnsi="Times New Roman"/>
                <w:sz w:val="28"/>
                <w:szCs w:val="28"/>
              </w:rPr>
            </w:pPr>
            <w:r>
              <w:rPr>
                <w:rFonts w:ascii="Times New Roman" w:hAnsi="Times New Roman"/>
                <w:sz w:val="28"/>
                <w:szCs w:val="28"/>
              </w:rPr>
              <w:t>Кайкова Ирина Владимировна, тел. 228-06-88</w:t>
            </w: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