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773" w:type="dxa"/>
        <w:tblLayout w:type="fixed"/>
        <w:tblCellMar>
          <w:left w:w="0" w:type="dxa"/>
          <w:right w:w="0" w:type="dxa"/>
        </w:tblCellMar>
        <w:tblLook w:val="04A0"/>
      </w:tblPr>
      <w:tblGrid>
        <w:gridCol w:w="551"/>
        <w:gridCol w:w="1483"/>
        <w:gridCol w:w="1943"/>
        <w:gridCol w:w="656"/>
        <w:gridCol w:w="748"/>
        <w:gridCol w:w="853"/>
        <w:gridCol w:w="1221"/>
        <w:gridCol w:w="1168"/>
        <w:gridCol w:w="971"/>
        <w:gridCol w:w="1116"/>
      </w:tblGrid>
      <w:tr>
        <w:trPr>
          <w:trHeight w:val="615" w:hRule="exact"/>
        </w:trPr>
        <w:tc>
          <w:tcPr>
            <w:tcW w:w="3977" w:type="dxa"/>
            <w:gridSpan w:val="3"/>
            <w:shd w:val="clear" w:color="auto"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656" w:type="dxa"/>
            <w:shd w:val="clear" w:color="auto" w:fill="auto"/>
            <w:textDirection w:val="lrTb"/>
            <w:vAlign w:val="bottom"/>
          </w:tcPr>
          <w:p>
            <w:pPr>
              <w:jc w:val="left"/>
              <w:rPr>
                <w:rFonts w:ascii="Times New Roman" w:hAnsi="Times New Roman"/>
                <w:sz w:val="24"/>
                <w:szCs w:val="24"/>
              </w:rPr>
            </w:pPr>
            <w:r/>
          </w:p>
        </w:tc>
        <w:tc>
          <w:tcPr>
            <w:tcW w:w="1601" w:type="dxa"/>
            <w:gridSpan w:val="2"/>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Http://www.medgorod.ru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24.03.2022 г. №.492-2022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7455" w:type="dxa"/>
            <w:gridSpan w:val="7"/>
            <w:shd w:val="clear" w:color="auto"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trPr>
          <w:trHeight w:val="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 п/п</w:t>
            </w:r>
          </w:p>
        </w:tc>
        <w:tc>
          <w:tcPr>
            <w:tcW w:w="148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Наименование</w:t>
            </w:r>
          </w:p>
        </w:tc>
        <w:tc>
          <w:tcPr>
            <w:tcW w:w="194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Характеристики</w:t>
            </w:r>
          </w:p>
        </w:tc>
        <w:tc>
          <w:tcPr>
            <w:tcW w:w="656"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Ед. изм.</w:t>
            </w:r>
          </w:p>
        </w:tc>
        <w:tc>
          <w:tcPr>
            <w:tcW w:w="748"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Кол-во, шт</w:t>
            </w:r>
          </w:p>
        </w:tc>
        <w:tc>
          <w:tcPr>
            <w:tcW w:w="85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Цена, рублей</w:t>
            </w:r>
          </w:p>
        </w:tc>
        <w:tc>
          <w:tcPr>
            <w:tcW w:w="1221"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Страна происхождения</w:t>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Остаточный срок годности</w:t>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ОКПД2\КТРУ</w:t>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Код вида МИ</w:t>
            </w:r>
          </w:p>
        </w:tc>
      </w:tr>
      <w:tr>
        <w:trPr>
          <w:trHeight w:val="30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Ножницы ультразвуковые коагуляционные</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Ножницы коагуляционные ультразвуковые с эргономичной пистолетной рукояткой для открытых и эндоскопических операций, с ручной активацией. Предназначены для одновременного рассечения и коагуляции тканей и сосудов диаметром до 7 мм. При отсутствии активации могут использоваться в качестве граспера, диссектора. Частота колебания титанового лезвия ножниц в продольном направлении 55,5 кГц. Возможность активации насадки с помощью кнопок включения в минимальном и максимальном режимах мощности, в режиме усовершенствованного гемостаза, расположенных на передней  и боковой поверхности корпуса насадки для быстрого доступа, или с помощью ножного привода (педали) для минимального и максимального режимов мощности. Корпус рукоятки имеет встроенный механизм тактильной и звуковой индикации полного сведени браншей. Наличие системы обратной связи с генератором и контроля температуры активного лезвия насадки, посредством генератора G11 (Джен Илевен), для повышения эффективности и скорости работы инструментом, а так же снижения уровня латерального повреждения тканей.  Наличие функции усовершенствованного гемостаза позволяет проводить коагуляцию сосудов до 7 мм в диаметре. Кнопка усовершенствованного гемостаза для удобства использования вынесена на боковую панель с обеих сторон корпуса и выделена зеленым цветом. Наличие дополнительного звукового сигнала, оповещающего о начале повышения температуры активного лезвия, для более совершенного контроля качества гемостаза. Ствол с антибликым покрытием.  Длина ствола 45 см от конца активной бранши до кольца ротации. Диаметр ствола 5 мм. Ротация ствола на 360 градусов осуществляется при помощи ротационного кольца, расположенного на стыке ствола и рукоятки насадки (для быстрого доступа при помощи одной руки) -  облегчает визуализацию и доступ к операционному полю. Индикатор длины 5 мм на обеих боковых сторонах пассивной бранши. Наличие резьбового разъема для соединения с лапаросонической рукояткой. Пистолетная рукоятка сведения браншей. Наличие резиновых прокладок на внутренней стороне рукоятки сведения браншей, кнопках ручной активации и ротационном кольце, препятствующих скольжению и способствующих комфортному размещению руки хирурга. Рабочая часть состоит из активной (лезвие) и пассивной браншей. Активная бранша титановая, с покрытием, для снижения степени налипания, изогнутая, для улучшения визуализации рабочего пространства, имеет в сечении шестигранную форму. Выпуклая и изогнутая поверхности, а также проксимальная часть активной бранши обладают более выраженным эффектом коагуляции тканей. Острые верхняя и нижняя грани, а также дистальная часть активной бранши (кончик) ообладают более выраженным эффектом диссекци тканей. Пассивная бранша имеет пластиковую накладку с насечками для улучшения фиксации ткани. Длина активной бранши (лезвия) 15 мм. Ширина пассивной бранши 2,67 мм. Аппертура раскрытия бранш 11,35 мм. Комплектуются замком рабочей части. Предназначены для использования у одного пациента, не подлежат повторной стерилизации. Поставляются стерильными. Может применяться у пациентов с кардиостимуляторами. Совместимы с генератором GEN11 при помощи специального адаптера  насадок «Гармоник».</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Зонд калибровочный для бариатрии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Зонд калибровочный для бариатрии 39Fr, длина 1400 см. Силиконовый калибровочный зонд для продольной резекции желудка. Наружный диаметр 13 мм, толщина стенки не менее 2 мм, количество отверстий: 2; длина: 1400 мм., цветные метки. Стерильный.</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8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Аппарат сшивающий линейный перезаряжаемый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Аппарат сшивающе-режущий линейный ECHELON Flex Plus 60 с изменяющимся углом рабочей части, эндоскопический, электрический, автономный, длина ствола 440 мм. Для троакаров  XCEL 12 мм, для прошивания тканей с наложением двух тройных рядов титановых скобок в шахматном порядке и одновременным рассечением ткани между ними. Индикация блокировки аппарата, блок управления артикуляцией и ротацией ствола, функция принудительного возврата лезвия в исходное положение и принудительного раскрытия браншей. Аппарат имеет две рукоятки: упорную рукоятку и рукоятку закрытия браншей. На одной из браншей - сантиметровая шкала, маркировка дистального/проксимального краев прошивания. Укрепленный закрытый канал продвижения ножа в кассетной бранше. Бранши из хирургической стали 400-й серии для обеспечения должной компрессии тканей. Бранши не выгибаются при прошивании. Пазы для формовки скобок в опорной бранше расположены в 6 рядов, соответственно рядам скобок в сменной кассете. Литое лезвие выполнено из стали  400-й серии и обеспечивает диссекцию в рамках допустимого количества прошиваний (12). Направляющая лезвия встроена в аппарат. Инструменты имеют линию скобочного шва длиной 60 мм и линию разреза длиной 57 мм. Ствол длиной 44 см ротируется на 360 градусов. Наличие механизма, гарантирующего параллельность положения браншей при прошивании (3 уровня стабилизации зазора),  механизм пассивной артикуляции.  Рычаг прошивания с предохранителем. Узел артикуляции интегрирован в ствол аппарата. Артикуляция 45 градусов в каждую сторону. Количество фиксированных положений –  7. Покрытие, защищающее узел артикуляции от попадания в него тканей.  Система возврата ножа позволяет вернуть нож в каждый момент прошивания. В упаковку с инструментом входит первичный литиевый аккумуляторный блок, который необходимо установить перед использованием. Аккумуляторный блок рассчитан на 12 часов с момента первой инсталляции в аппарат. Блокирование артикуляции при сомкнутых браншах. Блокирование аппарата при отсутствии, неправильно вставленной или использованной кассете. Возможность комплектования кассетами для тканей различной толщины (5  видов кассет), которые обеспечивают наложение 6 рядов скобок. Аппарат может быть перезаряжен  12 раз. Предназначен для использования у одного пациента. Поставляется стерильным.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2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Кассета 60 мм для плотных тканей для аппаратов сшивающих серии ECHELON FLEX</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Сменные кассеты со скобами к аппарату сшивающе-режущему ECHELON Flex Plus 60, зеленые. Кассеты со скобками сменные одноразовые к аппарату сшивающе-режущему ECHELON Flex Plus 60 мм для плотных тканей, высота закрытой скобки 2,0 мм. Кассета содержит 88 скобок, расположенных в два тройных ряда в шахматном порядке. Длина ножки открытой скобки 4,1 мм. Длина скобочного шва 60 мм. Специальная поверхность кассеты с высокими карманами для формирования стабильной линии механического шва на плотной ткани.  Линия механического шва превышает линию разреза минимум на 1,5 скобки в зависимости от толщины ткани. Материал скобок – МРТ-совместимый титановый сплав с содержанием ванадия и алюминия для снижения пластичности и предотвращения обратного разгибания скобок. Наличие канала для лезвия между тройными рядами скобок, механизма блокировки лезвия при использованной кассете. Предохранительная пластина на рабочей поверхности, препятствующая выпадению скобок при транспортировке и введении в аппарат. Поставляются заряженными, стерильными. Цветовая маркировка – зеленая.</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3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Кассета 60 мм для утолщеной ткани для аппаратов сшивающих серии ECHELON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Сменные кассеты со скобами к аппарату сшивающе-режущему ECHELON Flex Plus 60, желтые. Кассеты со скобками сменные одноразовые к аппарату сшивающе-режущему ECHELON Flex Plus 60 мм для утолщенных тканей для формирования скобочного шва с высотой закрытой скобки 1,8 мм. Кассета содержит 88 скобок, расположенных в два тройных ряда в шахматном порядке. Длина ножки открытой скобки 3,8 мм. Специальная поверхность кассеты с высокими карманами для формирования стабильной линии механического шва на утолщенной ткани. Длина скобочного шва 60 мм. Линия механического шва превышает линию разреза минимум на 1,5 скобки в зависимости от толщины ткани. Материал скобок – МРТ-совместимый титановый сплав с содержанием ванадия и алюминия для снижения пластичности и предотвращения обратного разгибания скобок. Наличие канала для лезвия между тройными рядами скобок, механизма блокировки лезвия при использованной кассете. Предохранительная пластина на рабочей поверхности, препятствующая выпадению скобок при транспортировке и введении в аппарат. Поставляются заряженными, стерильными. Цветовая маркировка – желтая.</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0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Нить хирургическая монофиламентная рассасывающаяся окрашенная M2 (3/0)</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Нить стерильная хирургическая для безузловой фиксации тканей, синтетическая, рассасывающаяся, монофиламентная, окрашенная, изготовленная из полидиоксанона, который не имеет антигенной активности и апирогеннен. Нить имеет на своей поверхности специальные однонаправленные шипы, расположенные по спирали,  не требующие использования узлов для соединения противоположных краев раны и петлю на конце для фиксации ткани.  Окрашена в контрастный цвет. Нить сохраняет 80% первоначальной прочности на разрыв IN VIVO через 4 недели и 40-70%  через 6 недель после имплантации.  Срок полного рассасывания 210 дней. Нить обладает клинически доказанными антисептическими свойствами для профилактики раневой инфекции в различных тканях организма. Используемый антисептик (триклозан) проявляет клинически доказанную антимикробную активность против Staphylococcus aureus, Staphylococcus epidermidis, MRSA,MRSE, E.coli, Klebsiella Pneumoniae  в концентрации, достаточной для подавления роста указанных штаммов микроорганизмов.  Метрический размер 2, условный размер  3-0. Длина нити  15 см. Одна игла. Игла изготовлена из коррозионностойкого высокопрочного сплава, обработана силиконом, что способствует уменьшению трения между иглой и тканями. Материал иглы на 40% более устойчив к необратимой деформации (изгибу), чем иглы из обычной нержавеющей стали, что предотвращает необходимость замены иглы, улучшает контроль над иглой и уменьшает травмирование тканей. Металл иглы создан на базе специфической углеродной микроструктуры, характеризующейся максимальной прочностью, дополняемой явлением технологической "памяти металла". Игла имеет конструкцию, увеличивающую надежность ее фиксации в иглодержателе  за счет насечек в месте захвата. Игла колющая, 1/2  окружности, 26 мм длиной.  Стерильный внутренний вкладыш из пластика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длину нити,  длину иглы, обозначение типа иглы, кривизны иглы, количества игл; информацию о сроке годности, номере партии(серии),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длину нити, длину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вкладыше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Лоток снабжен отклоняющимся пластиковым лепестком, который позволяет позиционировать иглу на нужную глубину в браншах иглодержателя в одно движение. Групповая упаковка (коробка) содержит 12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24</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6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Троакар для лапароскопии 12 мм х 15 см с плоским лезвием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Троакар с защитным колпачком и плоским лезвием, со стабилизацией, диаметр 12 мм, длина 150 мм. Троакар пластиковый, стерильный, тупоконечный, с плоским атравматичным лезвием, диаметром 12 мм, состоит из рентгенопрозрачной канюли и обтуратора.</w:t>
              <w:br/>
              <w:t>
Обтуратор с плоским встроенным лезвием, имеющим фиксированный защитный механизм – при срабатывании лезвие втягивается внутрь защитного футляра и блокируется. Канюля низкопрофильная, прозрачная. Приемник канюли конусообразный, содержит интегрированную комбинированную двойную систему мембран, кран инсуффляции с механизмом, препятствующим случайному его открытию. Канюля разборная для облегчения извлечения через нее резецированных тканей, состоит из двух частей: собственно канюли с нижней частью приемника, включающей мембрану по типу утиного клюва, и съемной верхней частью приемника, включающей лепестковую мембрану. Внутренняя поверхность канюли имеет специальное покрытие на основе силикона для облегчения ввода и извлечения инструментов из троакара. Длина канюли 150 мм, имеются боковые атравматичные циркулярные насечки для надежной фиксации в стенке брюшной полости без дополнительного прошивания. Троакар предназначен для использования у одного пациента. Не предназначен для повторной стерилизации. Поставляется стерильным.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35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Кассета 60 мм для нормальной ткани для аппаратов сшивающих серии ECHELON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Сменные кассеты со скобами к аппарату сшивающе-режущему ECHELON Flex Plus 60, синие. Кассеты со скобками сменные одноразовые к аппарату сшивающе-режущему ECHELON Flex Plus 60 мм для тканей нормальной толщины для формирования скобочного шва с высотой закрытой скобки 1,5 мм. Кассета содержит 88 скобок, расположенных в два тройных ряда в шахматном порядке. Длина ножки открытой скобки 3,6 мм. Специальная поверхность кассеты с высокими карманами для формирования стабильной линии механического шва на нормальной ткани. Длина скобочного шва примерно 60 мм. Линия механического шва превышает линию разреза минимум на 1,5 скобки в зависимости от толщины ткани. Материал скобок – МРТ-совместимый титановый сплав с содержанием ванадия и алюминия для снижения пластичности и предотвращения обратного разгибания скобок. Наличие канала для лезвия между тройными рядами скобок, механизма блокировки лезвия при использованной кассете. Предохранительная пластина на рабочей поверхности, препятствующая выпадению скобок при транспортировке и введении в аппарат. Поставляются заряженными, стерильными. Цветовая маркировка – синяя.</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24</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7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до 31.12.2022, по заявкам заказчика..</w:t>
            </w:r>
          </w:p>
        </w:tc>
      </w:tr>
      <w:tr>
        <w:trPr>
          <w:trHeight w:val="120"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trHeight w:val="120" w:hRule="exact"/>
        </w:trPr>
        <w:tc>
          <w:tcPr>
            <w:tcW w:w="551" w:type="dxa"/>
            <w:shd w:val="clear" w:color="auto" w:fill="auto"/>
            <w:textDirection w:val="lrTb"/>
            <w:vAlign w:val="bottom"/>
          </w:tcPr>
          <w:p>
            <w:pPr>
              <w:wordWrap w:val="1"/>
              <w:jc w:val="left"/>
              <w:rPr>
                <w:rFonts w:ascii="Times New Roman" w:hAnsi="Times New Roman"/>
                <w:sz w:val="28"/>
                <w:szCs w:val="28"/>
              </w:rPr>
            </w:pPr>
            <w:r/>
          </w:p>
        </w:tc>
        <w:tc>
          <w:tcPr>
            <w:tcW w:w="1483" w:type="dxa"/>
            <w:shd w:val="clear" w:color="auto" w:fill="auto"/>
            <w:textDirection w:val="lrTb"/>
            <w:vAlign w:val="bottom"/>
          </w:tcPr>
          <w:p>
            <w:pPr>
              <w:wordWrap w:val="1"/>
              <w:jc w:val="left"/>
              <w:rPr>
                <w:rFonts w:ascii="Times New Roman" w:hAnsi="Times New Roman"/>
                <w:sz w:val="28"/>
                <w:szCs w:val="28"/>
              </w:rPr>
            </w:pPr>
            <w:r/>
          </w:p>
        </w:tc>
        <w:tc>
          <w:tcPr>
            <w:tcW w:w="1943" w:type="dxa"/>
            <w:shd w:val="clear" w:color="auto" w:fill="auto"/>
            <w:textDirection w:val="lrTb"/>
            <w:vAlign w:val="bottom"/>
          </w:tcPr>
          <w:p>
            <w:pPr>
              <w:wordWrap w:val="1"/>
              <w:jc w:val="left"/>
              <w:rPr>
                <w:rFonts w:ascii="Times New Roman" w:hAnsi="Times New Roman"/>
                <w:sz w:val="28"/>
                <w:szCs w:val="28"/>
              </w:rPr>
            </w:pPr>
            <w:r/>
          </w:p>
        </w:tc>
        <w:tc>
          <w:tcPr>
            <w:tcW w:w="656" w:type="dxa"/>
            <w:shd w:val="clear" w:color="auto" w:fill="auto"/>
            <w:textDirection w:val="lrTb"/>
            <w:vAlign w:val="bottom"/>
          </w:tcPr>
          <w:p>
            <w:pPr>
              <w:wordWrap w:val="1"/>
              <w:jc w:val="left"/>
              <w:rPr>
                <w:rFonts w:ascii="Times New Roman" w:hAnsi="Times New Roman"/>
                <w:sz w:val="28"/>
                <w:szCs w:val="28"/>
              </w:rPr>
            </w:pPr>
            <w:r/>
          </w:p>
        </w:tc>
        <w:tc>
          <w:tcPr>
            <w:tcW w:w="748" w:type="dxa"/>
            <w:shd w:val="clear" w:color="auto" w:fill="auto"/>
            <w:textDirection w:val="lrTb"/>
            <w:vAlign w:val="bottom"/>
          </w:tcPr>
          <w:p>
            <w:pPr>
              <w:wordWrap w:val="1"/>
              <w:jc w:val="left"/>
              <w:rPr>
                <w:rFonts w:ascii="Times New Roman" w:hAnsi="Times New Roman"/>
                <w:sz w:val="28"/>
                <w:szCs w:val="28"/>
              </w:rPr>
            </w:pPr>
            <w:r/>
          </w:p>
        </w:tc>
        <w:tc>
          <w:tcPr>
            <w:tcW w:w="853" w:type="dxa"/>
            <w:shd w:val="clear" w:color="auto" w:fill="auto"/>
            <w:textDirection w:val="lrTb"/>
            <w:vAlign w:val="bottom"/>
          </w:tcPr>
          <w:p>
            <w:pPr>
              <w:wordWrap w:val="1"/>
              <w:jc w:val="left"/>
              <w:rPr>
                <w:rFonts w:ascii="Times New Roman" w:hAnsi="Times New Roman"/>
                <w:sz w:val="28"/>
                <w:szCs w:val="28"/>
              </w:rPr>
            </w:pPr>
            <w:r/>
          </w:p>
        </w:tc>
        <w:tc>
          <w:tcPr>
            <w:tcW w:w="1221" w:type="dxa"/>
            <w:shd w:val="clear" w:color="auto" w:fill="auto"/>
            <w:textDirection w:val="lrTb"/>
            <w:vAlign w:val="bottom"/>
          </w:tcPr>
          <w:p>
            <w:pPr>
              <w:wordWrap w:val="1"/>
              <w:jc w:val="left"/>
              <w:rPr>
                <w:rFonts w:ascii="Times New Roman" w:hAnsi="Times New Roman"/>
                <w:sz w:val="28"/>
                <w:szCs w:val="28"/>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70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trPr>
          <w:trHeight w:val="165" w:hRule="exact"/>
        </w:trPr>
        <w:tc>
          <w:tcPr>
            <w:tcW w:w="551" w:type="dxa"/>
            <w:shd w:val="clear" w:color="auto" w:fill="auto"/>
            <w:textDirection w:val="lrTb"/>
            <w:vAlign w:val="bottom"/>
          </w:tcPr>
          <w:p>
            <w:pPr>
              <w:jc w:val="left"/>
              <w:rPr>
                <w:rFonts w:ascii="Arial" w:hAnsi="Arial"/>
                <w:sz w:val="16"/>
                <w:szCs w:val="16"/>
              </w:rPr>
            </w:pPr>
            <w:r/>
          </w:p>
        </w:tc>
        <w:tc>
          <w:tcPr>
            <w:tcW w:w="1483" w:type="dxa"/>
            <w:shd w:val="clear" w:color="auto" w:fill="auto"/>
            <w:textDirection w:val="lrTb"/>
            <w:vAlign w:val="bottom"/>
          </w:tcPr>
          <w:p>
            <w:pPr>
              <w:jc w:val="left"/>
              <w:rPr>
                <w:rFonts w:ascii="Arial" w:hAnsi="Arial"/>
                <w:sz w:val="16"/>
                <w:szCs w:val="16"/>
              </w:rPr>
            </w:pPr>
            <w:r/>
          </w:p>
        </w:tc>
        <w:tc>
          <w:tcPr>
            <w:tcW w:w="1943" w:type="dxa"/>
            <w:shd w:val="clear" w:color="auto" w:fill="auto"/>
            <w:textDirection w:val="lrTb"/>
            <w:vAlign w:val="bottom"/>
          </w:tcPr>
          <w:p>
            <w:pPr>
              <w:jc w:val="left"/>
              <w:rPr>
                <w:rFonts w:ascii="Arial" w:hAnsi="Arial"/>
                <w:sz w:val="16"/>
                <w:szCs w:val="16"/>
              </w:rPr>
            </w:pPr>
            <w:r/>
          </w:p>
        </w:tc>
        <w:tc>
          <w:tcPr>
            <w:tcW w:w="656" w:type="dxa"/>
            <w:shd w:val="clear" w:color="auto" w:fill="auto"/>
            <w:textDirection w:val="lrTb"/>
            <w:vAlign w:val="bottom"/>
          </w:tcPr>
          <w:p>
            <w:pPr>
              <w:jc w:val="left"/>
              <w:rPr>
                <w:rFonts w:ascii="Arial" w:hAnsi="Arial"/>
                <w:sz w:val="16"/>
                <w:szCs w:val="16"/>
              </w:rPr>
            </w:pPr>
            <w:r/>
          </w:p>
        </w:tc>
        <w:tc>
          <w:tcPr>
            <w:tcW w:w="748" w:type="dxa"/>
            <w:shd w:val="clear" w:color="auto" w:fill="auto"/>
            <w:textDirection w:val="lrTb"/>
            <w:vAlign w:val="bottom"/>
          </w:tcPr>
          <w:p>
            <w:pPr>
              <w:jc w:val="left"/>
              <w:rPr>
                <w:rFonts w:ascii="Arial" w:hAnsi="Arial"/>
                <w:sz w:val="16"/>
                <w:szCs w:val="16"/>
              </w:rPr>
            </w:pPr>
            <w:r/>
          </w:p>
        </w:tc>
        <w:tc>
          <w:tcPr>
            <w:tcW w:w="853" w:type="dxa"/>
            <w:shd w:val="clear" w:color="auto" w:fill="auto"/>
            <w:textDirection w:val="lrTb"/>
            <w:vAlign w:val="bottom"/>
          </w:tcPr>
          <w:p>
            <w:pPr>
              <w:jc w:val="left"/>
              <w:rPr>
                <w:rFonts w:ascii="Arial" w:hAnsi="Arial"/>
                <w:sz w:val="16"/>
                <w:szCs w:val="16"/>
              </w:rPr>
            </w:pPr>
            <w:r/>
          </w:p>
        </w:tc>
        <w:tc>
          <w:tcPr>
            <w:tcW w:w="1221" w:type="dxa"/>
            <w:shd w:val="clear" w:color="auto" w:fill="auto"/>
            <w:textDirection w:val="lrTb"/>
            <w:vAlign w:val="bottom"/>
          </w:tcPr>
          <w:p>
            <w:pPr>
              <w:jc w:val="left"/>
              <w:rPr>
                <w:rFonts w:ascii="Arial" w:hAnsi="Arial"/>
                <w:sz w:val="16"/>
                <w:szCs w:val="16"/>
              </w:rPr>
            </w:pPr>
            <w:r/>
          </w:p>
        </w:tc>
        <w:tc>
          <w:tcPr>
            <w:tcW w:w="1168" w:type="dxa"/>
            <w:shd w:val="clear" w:color="auto" w:fill="auto"/>
            <w:textDirection w:val="lrTb"/>
            <w:vAlign w:val="bottom"/>
          </w:tcPr>
          <w:p>
            <w:pPr>
              <w:jc w:val="left"/>
              <w:rPr>
                <w:rFonts w:ascii="Arial" w:hAnsi="Arial"/>
                <w:sz w:val="16"/>
                <w:szCs w:val="16"/>
              </w:rPr>
            </w:pPr>
            <w:r/>
          </w:p>
        </w:tc>
        <w:tc>
          <w:tcPr>
            <w:tcW w:w="971" w:type="dxa"/>
            <w:shd w:val="clear" w:color="auto" w:fill="auto"/>
            <w:textDirection w:val="lrTb"/>
            <w:vAlign w:val="bottom"/>
          </w:tcPr>
          <w:p>
            <w:pPr>
              <w:jc w:val="left"/>
              <w:rPr>
                <w:rFonts w:ascii="Arial" w:hAnsi="Arial"/>
                <w:sz w:val="16"/>
                <w:szCs w:val="16"/>
              </w:rPr>
            </w:pPr>
            <w:r/>
          </w:p>
        </w:tc>
        <w:tc>
          <w:tcPr>
            <w:tcW w:w="1116" w:type="dxa"/>
            <w:shd w:val="clear" w:color="auto" w:fill="auto"/>
            <w:textDirection w:val="lrTb"/>
            <w:vAlign w:val="bottom"/>
          </w:tcPr>
          <w:p>
            <w:pPr>
              <w:jc w:val="left"/>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 xml:space="preserve">       Предложения принимаются в срок до 26.01.2022 17:00:00 по местному времени. </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Кайкова Ирина Владимировна, тел. 228-06-88</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