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 w:rsidRPr="00AD0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1A39" w:rsidRPr="00AD09FE" w:rsidRDefault="00AD09F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09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D09F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D09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D09F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D09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D09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01A39" w:rsidRPr="00AD09FE" w:rsidRDefault="00201A3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1A39" w:rsidRPr="00AD09FE" w:rsidRDefault="00201A3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1A39" w:rsidRPr="00AD09FE" w:rsidRDefault="00201A3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1A39" w:rsidRPr="00AD09FE" w:rsidRDefault="00201A3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1A39" w:rsidRPr="00AD09FE" w:rsidRDefault="00201A3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1A39" w:rsidRPr="00AD09FE" w:rsidRDefault="00201A3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1A39" w:rsidRPr="00AD09FE" w:rsidRDefault="00201A39">
            <w:pPr>
              <w:rPr>
                <w:lang w:val="en-US"/>
              </w:rPr>
            </w:pPr>
          </w:p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30.03.2023 г. №.467-2023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1A39" w:rsidRDefault="00201A39"/>
        </w:tc>
        <w:tc>
          <w:tcPr>
            <w:tcW w:w="2535" w:type="dxa"/>
            <w:shd w:val="clear" w:color="auto" w:fill="auto"/>
            <w:vAlign w:val="bottom"/>
          </w:tcPr>
          <w:p w:rsidR="00201A39" w:rsidRDefault="00201A39"/>
        </w:tc>
        <w:tc>
          <w:tcPr>
            <w:tcW w:w="3315" w:type="dxa"/>
            <w:shd w:val="clear" w:color="auto" w:fill="auto"/>
            <w:vAlign w:val="bottom"/>
          </w:tcPr>
          <w:p w:rsidR="00201A39" w:rsidRDefault="00201A39"/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1A39" w:rsidRDefault="00201A39"/>
        </w:tc>
        <w:tc>
          <w:tcPr>
            <w:tcW w:w="2535" w:type="dxa"/>
            <w:shd w:val="clear" w:color="auto" w:fill="auto"/>
            <w:vAlign w:val="bottom"/>
          </w:tcPr>
          <w:p w:rsidR="00201A39" w:rsidRDefault="00201A39"/>
        </w:tc>
        <w:tc>
          <w:tcPr>
            <w:tcW w:w="3315" w:type="dxa"/>
            <w:shd w:val="clear" w:color="auto" w:fill="auto"/>
            <w:vAlign w:val="bottom"/>
          </w:tcPr>
          <w:p w:rsidR="00201A39" w:rsidRDefault="00201A39"/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в качестве сильного щелочного детергента для удаления остатков 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из гидравлической системы гематологического анализатора. Предназначен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XS-1000i, XN-1000, XN-2000, XN-3000, XN-9000. Состав набора: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с доступной концентрацией хлора 5,0%. Срок стабильности после вскрытия упако</w:t>
            </w:r>
            <w:r>
              <w:rPr>
                <w:rFonts w:ascii="Times New Roman" w:hAnsi="Times New Roman"/>
                <w:sz w:val="24"/>
                <w:szCs w:val="24"/>
              </w:rPr>
              <w:t>вки 60 суток, при температуре хранения +1...+30 °C. Фасовка: пластиковая бутылка. Объем 50 мл.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и размеров эритроцитов и тромбоцитов методом гидродинамической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фокусировки, определения концентрации гемоглобина. Также используется в качестве фокусирующей жидкости для детектора гидродинамической фокусировки.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</w:t>
            </w:r>
            <w:r>
              <w:rPr>
                <w:rFonts w:ascii="Times New Roman" w:hAnsi="Times New Roman"/>
                <w:sz w:val="24"/>
                <w:szCs w:val="24"/>
              </w:rPr>
              <w:t>, XN-3000, XN-9000.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реагента: хлорид натрия 0,7%,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-буфер 0,2%, ЭДТА-2K 0,02% Срок стабильности после вскрытия упаковки 60 суток, при температуре хранения +2...+35 °C. Фасовка: пластиковая канистра с пробкой, помещенная в картонную коробку. 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и процентного содержания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подсчета числа тромбоцитов, путем окрашивания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разбавленных образцах крови.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набора: полиметиновый краситель 0,03%, этиленгли</w:t>
            </w:r>
            <w:r>
              <w:rPr>
                <w:rFonts w:ascii="Times New Roman" w:hAnsi="Times New Roman"/>
                <w:sz w:val="24"/>
                <w:szCs w:val="24"/>
              </w:rPr>
              <w:t>коль 92,0%. Срок стабильности после вскрытия упаковки 90 суток, при температуре хранения +2...+35 °C. Набор содержит 2 картриджа х 12 мл. На поверхность каждого картриджа нанесена метка RFID (радиочастотное идентификационное устройство) для автоматического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считывания и записи данных о партии реагента.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1000..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дифференциального подсчета лейкоцитов по 4 популяциям, путем окрашивания лейкоцитов в разбавленных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кр</w:t>
            </w:r>
            <w:r>
              <w:rPr>
                <w:rFonts w:ascii="Times New Roman" w:hAnsi="Times New Roman"/>
                <w:sz w:val="24"/>
                <w:szCs w:val="24"/>
              </w:rPr>
              <w:t>аситель 0,002%, этиленгликоль 96,9%. Срок стабильности после вскрытия упаковки 90 суток, при температуре хранения +2...+30 °C. Набор содержит 2 картриджа х 42 мл. На поверхность каждого картриджа нанесена метка RFID (радиочастотное идентификационное устрой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подсчета числа лейкоцитов, числа ядросодержащих эритроцитов и числа базофилов, путем окрашивания ядросодержащих клеток в разбавленных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XN-1000, XN-2000, XN-3000, XN-9000. Состав набора: полиметиновый краситель 0,005%, этиленгликоль 99,9%. Срок стабильности после вскрытия упаковки 90 суток, при температуре хранения +2...+35 °C. Набор содержит 2 картриджа х 82 мл. На поверхность каждого кар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определения гемоглобина фотоэлектрическим методом.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лаурилсульфат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1,7 г/л. Срок стабильности после вскрытия упаковки 90 суток, при температуре хранения +1...+30 °C. Фасовка: пластиковая канистра с пластиковой пробкой, помещенная в картонную коробку. Объем 5 л. Полное соответствие реагента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WDF для подсчета абсолютного количества и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относительного количества нейтрофилов, лимфоцитов, моноцитов и эозинофилов, путем гемолиза эритроцитов и окрашивания компонентов лейкоцитов.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</w:t>
            </w:r>
            <w:r>
              <w:rPr>
                <w:rFonts w:ascii="Times New Roman" w:hAnsi="Times New Roman"/>
                <w:sz w:val="24"/>
                <w:szCs w:val="24"/>
              </w:rPr>
              <w:t>00, XN-9000. Состав реагента: органическая четвертичная соль аммония 0,07%, неионогенное ПАВ 0,17%. Срок стабильности после вскрытия упаковки 90 суток, при температуре хранения +2...+35 °C. Набор содержит 2 упаковки х 4 л. Полное соответствие реагента инст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WNR для подсчета лейкоцитов, подсчета базофилов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относительного количества базофилов, подсчета нормобластов и определения относительного количества нормобластов,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дифференцировки лейкоцитов, базофилов и нормобластов.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использования только с реаге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аммония 0,20%, неионогенное ПАВ 0,10%. Срок стабильности после вскрытия упаковки 60 суток, при температуре хранения +2...+35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с аттестованными значениями для гематологических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5-DIFF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обеспечения возможности своевременного проведения контроля качества соответствующих измеряемых параметров Стабильность после вскрытия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 флакона по 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мл.Нормальный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низкий и высокий уровень.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Реагент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STROMATOLYSER-FB (FBA-200A)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товара по КТРУ: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выполняемых тестов: 2000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Для анализаторов гематологических серии ХТ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  <w:p w:rsidR="00201A39" w:rsidRDefault="00AD09F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 для анализа лейкоцитов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базофильных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гранулоцитов в пробах цельной крови методом измерения сопротивления и фотометрическим методом.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стабильности после вскрытия упаковки от 60 до 180 дней (значение параметра не требует конкретизации), при температуре хранения от +5 до +30 °C (с полным пок</w:t>
            </w:r>
            <w:r>
              <w:rPr>
                <w:rFonts w:ascii="Times New Roman" w:hAnsi="Times New Roman"/>
                <w:sz w:val="24"/>
                <w:szCs w:val="24"/>
              </w:rPr>
              <w:t>рытием диапазона).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Объем: 5 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STROMATOLYSER-4DL (FFD-200A)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товара по КТРУ: Количество выполняемых тестов: 2000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Назначение: Для анализаторов гематологических серии ХТ. Дополнительные характеристики.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осуществления лизиса эритроцитов при проведении дифференциального подсчета лейкоцитов.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0,18%, органическая четвертичная соль аммония - 0,08%. Срок стабильности после вскрытия упаковки не менее 90 суток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значение параметра не требует конкретизации), при температуре хранения от +2 до +35 °C (с полным покрытием диапазона). Объем: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стабильности после вскрытия от 60 до 180 дней, а также температура хранения от +2 до+35оС (с полным покрытием диапазона).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товара по КТРУ: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выполняемых тестов: 2000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Для анализаторов гематологических серии ХТ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>дифференциального анализа лейкоцитов по 5 параметрам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Lymph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методом прямого светорассеяния и эмиссии флуоресценции.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 рекомендациям производителя, указанных в Главе 4. Руководства по эксплуатации гематологических анализат</w:t>
            </w:r>
            <w:r>
              <w:rPr>
                <w:rFonts w:ascii="Times New Roman" w:hAnsi="Times New Roman"/>
                <w:sz w:val="24"/>
                <w:szCs w:val="24"/>
              </w:rPr>
              <w:t>оров, имеющихся у Заказчика.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Стабильность после вскрытия при хранении от +2 до +35°C (с полным покрытием диапазона) без воздействия прямых солнечных лучей не менее 90 суток (значение параметра не требует конкретизации).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Фасовка: 1 штука х 42 мл.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стаби</w:t>
            </w:r>
            <w:r>
              <w:rPr>
                <w:rFonts w:ascii="Times New Roman" w:hAnsi="Times New Roman"/>
                <w:sz w:val="24"/>
                <w:szCs w:val="24"/>
              </w:rPr>
              <w:t>льности после вскрытия от 60 до 180 дней, а также температура хранения от +2 до+35оС (с полным покрытием диапазона)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товара по КТРУ: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выполняемых тестов: 2000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анализаторов гематологических серии ХТ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характеристики: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цельной крови для анализа количества и размеров эритроцитов и тромбоцитов методом гидродинамической фокусировки (детектирование при постоянном токе).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хлорид натрия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стабильности после вскрытия упаковки не менее 60 дней (значение параметра не требует конкретизации), при температуре хранения от +1 до +30 °С (с полным покрытием диапазона)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Фасовка: объемом 20 л.</w:t>
            </w:r>
          </w:p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поверхности нанесен 28-значный штриховой код с информацией о реагенте для автоматического учета анализатором параметров реагента.    срок стабильности после вскрытия от 60 до 180 дней, а также температура хранения от +2 до+35оС </w:t>
            </w:r>
            <w:r>
              <w:rPr>
                <w:rFonts w:ascii="Times New Roman" w:hAnsi="Times New Roman"/>
                <w:sz w:val="24"/>
                <w:szCs w:val="24"/>
              </w:rPr>
              <w:t>(с полным покрытием диапазона)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CELLCLEAN (CL-50)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гематологических анализаторов открытого типа это чистящий реагент представляет собой раствор, готовый к использованию, содержащий гипохлорит натрия. Реагент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TriaClean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промывки всех жидкостных магистралей гематологических анализаторов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Sysmex.Упаковка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100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AD09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1A39" w:rsidRDefault="00201A3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01A39" w:rsidRDefault="00201A39"/>
        </w:tc>
        <w:tc>
          <w:tcPr>
            <w:tcW w:w="2535" w:type="dxa"/>
            <w:shd w:val="clear" w:color="auto" w:fill="auto"/>
            <w:vAlign w:val="bottom"/>
          </w:tcPr>
          <w:p w:rsidR="00201A39" w:rsidRDefault="00201A39"/>
        </w:tc>
        <w:tc>
          <w:tcPr>
            <w:tcW w:w="3315" w:type="dxa"/>
            <w:shd w:val="clear" w:color="auto" w:fill="auto"/>
            <w:vAlign w:val="bottom"/>
          </w:tcPr>
          <w:p w:rsidR="00201A39" w:rsidRDefault="00201A39"/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1A39" w:rsidRDefault="00AD09F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01A39" w:rsidRDefault="00201A39"/>
        </w:tc>
        <w:tc>
          <w:tcPr>
            <w:tcW w:w="2535" w:type="dxa"/>
            <w:shd w:val="clear" w:color="auto" w:fill="auto"/>
            <w:vAlign w:val="bottom"/>
          </w:tcPr>
          <w:p w:rsidR="00201A39" w:rsidRDefault="00201A39"/>
        </w:tc>
        <w:tc>
          <w:tcPr>
            <w:tcW w:w="3315" w:type="dxa"/>
            <w:shd w:val="clear" w:color="auto" w:fill="auto"/>
            <w:vAlign w:val="bottom"/>
          </w:tcPr>
          <w:p w:rsidR="00201A39" w:rsidRDefault="00201A39"/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1A39" w:rsidRDefault="00AD09F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01A39" w:rsidRDefault="00201A39"/>
        </w:tc>
        <w:tc>
          <w:tcPr>
            <w:tcW w:w="2535" w:type="dxa"/>
            <w:shd w:val="clear" w:color="auto" w:fill="auto"/>
            <w:vAlign w:val="bottom"/>
          </w:tcPr>
          <w:p w:rsidR="00201A39" w:rsidRDefault="00201A39"/>
        </w:tc>
        <w:tc>
          <w:tcPr>
            <w:tcW w:w="3315" w:type="dxa"/>
            <w:shd w:val="clear" w:color="auto" w:fill="auto"/>
            <w:vAlign w:val="bottom"/>
          </w:tcPr>
          <w:p w:rsidR="00201A39" w:rsidRDefault="00201A39"/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1A39" w:rsidRDefault="00AD09F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01A39" w:rsidRDefault="00201A39"/>
        </w:tc>
        <w:tc>
          <w:tcPr>
            <w:tcW w:w="2535" w:type="dxa"/>
            <w:shd w:val="clear" w:color="auto" w:fill="auto"/>
            <w:vAlign w:val="bottom"/>
          </w:tcPr>
          <w:p w:rsidR="00201A39" w:rsidRDefault="00201A39"/>
        </w:tc>
        <w:tc>
          <w:tcPr>
            <w:tcW w:w="3315" w:type="dxa"/>
            <w:shd w:val="clear" w:color="auto" w:fill="auto"/>
            <w:vAlign w:val="bottom"/>
          </w:tcPr>
          <w:p w:rsidR="00201A39" w:rsidRDefault="00201A39"/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1A39" w:rsidRDefault="00AD09F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06.04.2023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1A39" w:rsidRDefault="00201A39"/>
        </w:tc>
        <w:tc>
          <w:tcPr>
            <w:tcW w:w="2535" w:type="dxa"/>
            <w:shd w:val="clear" w:color="auto" w:fill="auto"/>
            <w:vAlign w:val="bottom"/>
          </w:tcPr>
          <w:p w:rsidR="00201A39" w:rsidRDefault="00201A39"/>
        </w:tc>
        <w:tc>
          <w:tcPr>
            <w:tcW w:w="3315" w:type="dxa"/>
            <w:shd w:val="clear" w:color="auto" w:fill="auto"/>
            <w:vAlign w:val="bottom"/>
          </w:tcPr>
          <w:p w:rsidR="00201A39" w:rsidRDefault="00201A39"/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1A39" w:rsidRDefault="00AD09F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1A39" w:rsidRDefault="00201A39"/>
        </w:tc>
        <w:tc>
          <w:tcPr>
            <w:tcW w:w="2535" w:type="dxa"/>
            <w:shd w:val="clear" w:color="auto" w:fill="auto"/>
            <w:vAlign w:val="bottom"/>
          </w:tcPr>
          <w:p w:rsidR="00201A39" w:rsidRDefault="00201A39"/>
        </w:tc>
        <w:tc>
          <w:tcPr>
            <w:tcW w:w="3315" w:type="dxa"/>
            <w:shd w:val="clear" w:color="auto" w:fill="auto"/>
            <w:vAlign w:val="bottom"/>
          </w:tcPr>
          <w:p w:rsidR="00201A39" w:rsidRDefault="00201A39"/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1A39" w:rsidRDefault="00201A39"/>
        </w:tc>
        <w:tc>
          <w:tcPr>
            <w:tcW w:w="2535" w:type="dxa"/>
            <w:shd w:val="clear" w:color="auto" w:fill="auto"/>
            <w:vAlign w:val="bottom"/>
          </w:tcPr>
          <w:p w:rsidR="00201A39" w:rsidRDefault="00201A39"/>
        </w:tc>
        <w:tc>
          <w:tcPr>
            <w:tcW w:w="3315" w:type="dxa"/>
            <w:shd w:val="clear" w:color="auto" w:fill="auto"/>
            <w:vAlign w:val="bottom"/>
          </w:tcPr>
          <w:p w:rsidR="00201A39" w:rsidRDefault="00201A39"/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1A39" w:rsidRDefault="00201A39"/>
        </w:tc>
        <w:tc>
          <w:tcPr>
            <w:tcW w:w="2535" w:type="dxa"/>
            <w:shd w:val="clear" w:color="auto" w:fill="auto"/>
            <w:vAlign w:val="bottom"/>
          </w:tcPr>
          <w:p w:rsidR="00201A39" w:rsidRDefault="00201A39"/>
        </w:tc>
        <w:tc>
          <w:tcPr>
            <w:tcW w:w="3315" w:type="dxa"/>
            <w:shd w:val="clear" w:color="auto" w:fill="auto"/>
            <w:vAlign w:val="bottom"/>
          </w:tcPr>
          <w:p w:rsidR="00201A39" w:rsidRDefault="00201A39"/>
        </w:tc>
        <w:tc>
          <w:tcPr>
            <w:tcW w:w="1125" w:type="dxa"/>
            <w:shd w:val="clear" w:color="auto" w:fill="auto"/>
            <w:vAlign w:val="bottom"/>
          </w:tcPr>
          <w:p w:rsidR="00201A39" w:rsidRDefault="00201A39"/>
        </w:tc>
        <w:tc>
          <w:tcPr>
            <w:tcW w:w="1275" w:type="dxa"/>
            <w:shd w:val="clear" w:color="auto" w:fill="auto"/>
            <w:vAlign w:val="bottom"/>
          </w:tcPr>
          <w:p w:rsidR="00201A39" w:rsidRDefault="00201A39"/>
        </w:tc>
        <w:tc>
          <w:tcPr>
            <w:tcW w:w="1470" w:type="dxa"/>
            <w:shd w:val="clear" w:color="auto" w:fill="auto"/>
            <w:vAlign w:val="bottom"/>
          </w:tcPr>
          <w:p w:rsidR="00201A39" w:rsidRDefault="00201A39"/>
        </w:tc>
        <w:tc>
          <w:tcPr>
            <w:tcW w:w="2100" w:type="dxa"/>
            <w:shd w:val="clear" w:color="auto" w:fill="auto"/>
            <w:vAlign w:val="bottom"/>
          </w:tcPr>
          <w:p w:rsidR="00201A39" w:rsidRDefault="00201A39"/>
        </w:tc>
        <w:tc>
          <w:tcPr>
            <w:tcW w:w="1995" w:type="dxa"/>
            <w:shd w:val="clear" w:color="auto" w:fill="auto"/>
            <w:vAlign w:val="bottom"/>
          </w:tcPr>
          <w:p w:rsidR="00201A39" w:rsidRDefault="00201A39"/>
        </w:tc>
        <w:tc>
          <w:tcPr>
            <w:tcW w:w="1650" w:type="dxa"/>
            <w:shd w:val="clear" w:color="auto" w:fill="auto"/>
            <w:vAlign w:val="bottom"/>
          </w:tcPr>
          <w:p w:rsidR="00201A39" w:rsidRDefault="00201A39"/>
        </w:tc>
        <w:tc>
          <w:tcPr>
            <w:tcW w:w="1905" w:type="dxa"/>
            <w:shd w:val="clear" w:color="auto" w:fill="auto"/>
            <w:vAlign w:val="bottom"/>
          </w:tcPr>
          <w:p w:rsidR="00201A39" w:rsidRDefault="00201A39"/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1A39" w:rsidRDefault="00AD09F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01A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1A39" w:rsidRDefault="00AD09FE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AD09FE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A39"/>
    <w:rsid w:val="00201A39"/>
    <w:rsid w:val="00A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D7906-1A49-422D-ACF9-9844045D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1728</Words>
  <Characters>9854</Characters>
  <Application>Microsoft Office Word</Application>
  <DocSecurity>0</DocSecurity>
  <Lines>82</Lines>
  <Paragraphs>23</Paragraphs>
  <ScaleCrop>false</ScaleCrop>
  <Company/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2</cp:revision>
  <dcterms:created xsi:type="dcterms:W3CDTF">2023-03-30T05:21:00Z</dcterms:created>
  <dcterms:modified xsi:type="dcterms:W3CDTF">2023-03-30T05:22:00Z</dcterms:modified>
</cp:coreProperties>
</file>