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1904"/>
        <w:gridCol w:w="2469"/>
        <w:gridCol w:w="662"/>
        <w:gridCol w:w="827"/>
        <w:gridCol w:w="1034"/>
        <w:gridCol w:w="1812"/>
        <w:gridCol w:w="1535"/>
      </w:tblGrid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RPr="00352C68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Pr="002276B1" w:rsidRDefault="002276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2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szCs w:val="16"/>
                <w:lang w:val="en-US"/>
              </w:rPr>
            </w:pPr>
          </w:p>
        </w:tc>
      </w:tr>
      <w:tr w:rsidR="00CD1C49" w:rsidRPr="00352C68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Pr="002276B1" w:rsidRDefault="002276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szCs w:val="16"/>
                <w:lang w:val="en-US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352C68" w:rsidP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76B1">
              <w:rPr>
                <w:rFonts w:ascii="Times New Roman" w:hAnsi="Times New Roman"/>
                <w:sz w:val="24"/>
                <w:szCs w:val="24"/>
              </w:rPr>
              <w:t>.06.2019 г. №.4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2276B1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9238" w:type="dxa"/>
            <w:gridSpan w:val="7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D1C49" w:rsidTr="00352C68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D1C49" w:rsidTr="00352C68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вакуум-контролем, длина 60 см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 w:rsidRPr="00352C68"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вакуум-контролем, длина 60 см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 w:rsidRPr="00352C68"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lastRenderedPageBreak/>
              <w:t>атравматичный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>Система для энтерального питания 1000 мл, гравитационная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 xml:space="preserve">Коннектор адаптирован к любому размеру питательного зонда; трубка устойчива к слипанию при обратных перегибах; стенки мешка и трубки прозрачные; мешок для питательной смеси снабжен боковой градуировкой; наличие специального кольца для фиксации мешка на стандартной стойке; наличие зажима для максимально точного дозирования скорости введения питательной смеси и камера для визуального контроля; Горловина мешка имеет герметичную крышку для исключения дополнительное инфицирование питательной смеси из окружающей среды; Упаковка стерильная, система предназначена для однократного применения; материал изготовления - прозрачный ПВХ. Система может содержать латекс; Объем мешка — 1000 </w:t>
            </w:r>
            <w:r w:rsidRPr="00352C68">
              <w:rPr>
                <w:rFonts w:ascii="Times New Roman" w:hAnsi="Times New Roman"/>
                <w:sz w:val="24"/>
                <w:szCs w:val="24"/>
              </w:rPr>
              <w:lastRenderedPageBreak/>
              <w:t>мл.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</w:t>
            </w:r>
            <w:r w:rsidRPr="00352C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содержит латекса. Индивидуальная потребительская упаковка герметично заварена. Шприцы стерильны,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 xml:space="preserve">Шприц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50 мл, ЛЛ, игла</w:t>
            </w:r>
          </w:p>
        </w:tc>
        <w:tc>
          <w:tcPr>
            <w:tcW w:w="24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68"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 w:rsidRPr="00352C68"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 w:rsidRPr="00352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352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375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352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контракта </w:t>
            </w:r>
            <w:r w:rsidR="00352C68">
              <w:rPr>
                <w:rFonts w:ascii="Times New Roman" w:hAnsi="Times New Roman"/>
                <w:sz w:val="28"/>
                <w:szCs w:val="28"/>
              </w:rPr>
              <w:t>в течение 5 календарных дней</w:t>
            </w:r>
          </w:p>
        </w:tc>
      </w:tr>
      <w:tr w:rsidR="00CD1C49" w:rsidTr="00352C68">
        <w:trPr>
          <w:trHeight w:val="120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D1C49" w:rsidTr="00352C68">
        <w:trPr>
          <w:trHeight w:val="120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1C49" w:rsidTr="00352C68">
        <w:trPr>
          <w:trHeight w:val="165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352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352C68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CD1C49" w:rsidTr="00352C68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руководителя контрактной службы________________________/Алешечкина Е.А./</w:t>
            </w:r>
          </w:p>
        </w:tc>
      </w:tr>
      <w:tr w:rsidR="00CD1C49" w:rsidTr="00352C68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90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46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7A02EC" w:rsidRDefault="007A02EC"/>
    <w:sectPr w:rsidR="007A02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49"/>
    <w:rsid w:val="002276B1"/>
    <w:rsid w:val="00352C68"/>
    <w:rsid w:val="007A02EC"/>
    <w:rsid w:val="00C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148C3-2D86-4B88-B108-CA10414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2019-06-27T07:37:00Z</dcterms:created>
  <dcterms:modified xsi:type="dcterms:W3CDTF">2019-06-27T07:37:00Z</dcterms:modified>
</cp:coreProperties>
</file>