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Style0"/>
        <w:tblW w:w="0" w:type="auto"/>
        <w:tblInd w:w="0" w:type="dxa"/>
        <w:tblLook w:val="04A0"/>
      </w:tblPr>
      <w:tblGrid>
        <w:gridCol w:w="394"/>
        <w:gridCol w:w="2036"/>
        <w:gridCol w:w="3008"/>
        <w:gridCol w:w="645"/>
        <w:gridCol w:w="672"/>
        <w:gridCol w:w="888"/>
        <w:gridCol w:w="1719"/>
        <w:gridCol w:w="1411"/>
      </w:tblGrid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2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220-16-13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RPr="0027531F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Pr="007254AA" w:rsidRDefault="007254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591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szCs w:val="16"/>
                <w:lang w:val="en-US"/>
              </w:rPr>
            </w:pPr>
          </w:p>
        </w:tc>
      </w:tr>
      <w:tr w:rsidR="00F070C9" w:rsidRPr="0027531F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Pr="007254AA" w:rsidRDefault="007254AA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254AA">
              <w:rPr>
                <w:rFonts w:ascii="Times New Roman" w:hAnsi="Times New Roman"/>
                <w:sz w:val="24"/>
                <w:szCs w:val="24"/>
                <w:lang w:val="en-US"/>
              </w:rPr>
              <w:t>Http://www.kkb1. krasu.ru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Pr="007254AA" w:rsidRDefault="00F070C9">
            <w:pPr>
              <w:rPr>
                <w:szCs w:val="16"/>
                <w:lang w:val="en-US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C3283C" w:rsidP="0027531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="007254AA">
              <w:rPr>
                <w:rFonts w:ascii="Times New Roman" w:hAnsi="Times New Roman"/>
                <w:sz w:val="24"/>
                <w:szCs w:val="24"/>
              </w:rPr>
              <w:t>.04.2 020 г. №3</w:t>
            </w:r>
            <w:r w:rsidR="008E393E">
              <w:rPr>
                <w:rFonts w:ascii="Times New Roman" w:hAnsi="Times New Roman"/>
                <w:sz w:val="24"/>
                <w:szCs w:val="24"/>
              </w:rPr>
              <w:t>8</w:t>
            </w:r>
            <w:bookmarkStart w:id="0" w:name="_GoBack"/>
            <w:bookmarkEnd w:id="0"/>
            <w:r w:rsidR="0027531F">
              <w:rPr>
                <w:rFonts w:ascii="Times New Roman" w:hAnsi="Times New Roman"/>
                <w:sz w:val="24"/>
                <w:szCs w:val="24"/>
              </w:rPr>
              <w:t>7</w:t>
            </w:r>
            <w:r w:rsidR="007254AA">
              <w:rPr>
                <w:rFonts w:ascii="Times New Roman" w:hAnsi="Times New Roman"/>
                <w:sz w:val="24"/>
                <w:szCs w:val="24"/>
              </w:rPr>
              <w:t>-2020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C3283C" w:rsidTr="00A7135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5488" w:type="dxa"/>
            <w:gridSpan w:val="3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C3283C" w:rsidTr="00A7135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A71359">
        <w:trPr>
          <w:trHeight w:val="60"/>
        </w:trPr>
        <w:tc>
          <w:tcPr>
            <w:tcW w:w="9361" w:type="dxa"/>
            <w:gridSpan w:val="7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Прошу Вас предоставить коммерческое предложение на право поставки следующего товара:</w:t>
            </w:r>
          </w:p>
        </w:tc>
      </w:tr>
      <w:tr w:rsidR="004F03C9" w:rsidTr="00A71359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50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5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17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4F03C9" w:rsidRDefault="004F03C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</w:tr>
      <w:tr w:rsidR="004F03C9" w:rsidTr="00A71359">
        <w:trPr>
          <w:trHeight w:val="60"/>
        </w:trPr>
        <w:tc>
          <w:tcPr>
            <w:tcW w:w="393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095" w:type="dxa"/>
            <w:gridSpan w:val="2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center"/>
          </w:tcPr>
          <w:p w:rsidR="00A71359" w:rsidRPr="00A71359" w:rsidRDefault="00C3283C" w:rsidP="002753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Билиардный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итиноловый</w:t>
            </w:r>
            <w:proofErr w:type="spellEnd"/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полностью покрытый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саморасширяющийся</w:t>
            </w:r>
            <w:proofErr w:type="spellEnd"/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стент</w:t>
            </w:r>
            <w:proofErr w:type="spellEnd"/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диаметром 8 мм, длина </w:t>
            </w:r>
            <w:r w:rsidR="0027531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80</w:t>
            </w:r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см.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саморасширяющийся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билиарный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стент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двойного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плетения,покрытый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бионедеградируемая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силиконовая мембрана, Используется для лечения стриктур желчных протоков, вызванных злокачественными опухолями</w:t>
            </w:r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.Диаметр полность</w:t>
            </w:r>
            <w:r w:rsidR="00E8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ю открытого </w:t>
            </w:r>
            <w:proofErr w:type="spellStart"/>
            <w:r w:rsidR="00E8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стента</w:t>
            </w:r>
            <w:proofErr w:type="spellEnd"/>
            <w:r w:rsidR="00E87D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8мм, длина 8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см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proofErr w:type="gramEnd"/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онцы </w:t>
            </w:r>
            <w:proofErr w:type="spellStart"/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стента</w:t>
            </w:r>
            <w:proofErr w:type="spellEnd"/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имеют воронкообразную форму (</w:t>
            </w:r>
            <w:proofErr w:type="spellStart"/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антимиграционный</w:t>
            </w:r>
            <w:proofErr w:type="spellEnd"/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механизм). Доставочное устройство длиной 180 см, диаметром 8Fr., </w:t>
            </w:r>
            <w:proofErr w:type="spellStart"/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стент</w:t>
            </w:r>
            <w:proofErr w:type="spellEnd"/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имеет 10 золотых </w:t>
            </w:r>
            <w:proofErr w:type="spellStart"/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рентгеноконтрастных</w:t>
            </w:r>
            <w:proofErr w:type="spellEnd"/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меток (4 на концах и 2 в центре). Доставочное устройство с </w:t>
            </w:r>
            <w:proofErr w:type="spellStart"/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рентгеноконтрастным</w:t>
            </w:r>
            <w:proofErr w:type="spellEnd"/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оливообразным</w:t>
            </w:r>
            <w:proofErr w:type="spellEnd"/>
            <w:r w:rsidRPr="00C3283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концом и метками на всем протяжении. Стерильная упаковка</w:t>
            </w:r>
          </w:p>
        </w:tc>
        <w:tc>
          <w:tcPr>
            <w:tcW w:w="591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76743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штука</w:t>
            </w:r>
          </w:p>
        </w:tc>
        <w:tc>
          <w:tcPr>
            <w:tcW w:w="673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7674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89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</w:tcPr>
          <w:p w:rsidR="004F03C9" w:rsidRDefault="004F03C9" w:rsidP="004F03C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2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FFFFFF" w:fill="auto"/>
            <w:vAlign w:val="bottom"/>
          </w:tcPr>
          <w:p w:rsidR="004F03C9" w:rsidRDefault="004F03C9" w:rsidP="004F03C9">
            <w:pPr>
              <w:rPr>
                <w:szCs w:val="16"/>
              </w:rPr>
            </w:pPr>
          </w:p>
        </w:tc>
      </w:tr>
      <w:tr w:rsidR="00C3283C" w:rsidTr="00A71359">
        <w:trPr>
          <w:trHeight w:val="375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 w:rsidP="004F03C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Срок поставки: не более </w:t>
            </w:r>
            <w:r w:rsidR="004F03C9">
              <w:rPr>
                <w:rFonts w:ascii="Times New Roman" w:hAnsi="Times New Roman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календарных дней с момента заключения контракта.</w:t>
            </w:r>
          </w:p>
        </w:tc>
      </w:tr>
      <w:tr w:rsidR="00C3283C" w:rsidTr="00A71359">
        <w:trPr>
          <w:trHeight w:val="12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Цена должна быть указана с учетом доставки  до КГБУЗ «Краевая клиническая больница» г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.К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расноярск, ул. Партизана Железняка, 3.</w:t>
            </w:r>
          </w:p>
        </w:tc>
      </w:tr>
      <w:tr w:rsidR="00C3283C" w:rsidTr="00A71359">
        <w:trPr>
          <w:trHeight w:val="12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Информацию необходимо направить по факсу +7 (391) 220-16-23, электронной почте zakupki@medgorod.ru  или по адресу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. Красноярск, ул. Партизана Железняка 3-б, отдел обеспечения государственных закупок, тел. 220-16-04</w:t>
            </w:r>
          </w:p>
        </w:tc>
      </w:tr>
      <w:tr w:rsidR="00C3283C" w:rsidTr="00A71359">
        <w:trPr>
          <w:trHeight w:val="165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 w:rsidP="00476743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Предложения принимаются в срок до </w:t>
            </w:r>
            <w:r w:rsidR="00476743">
              <w:rPr>
                <w:rFonts w:ascii="Times New Roman" w:hAnsi="Times New Roman"/>
                <w:sz w:val="28"/>
                <w:szCs w:val="28"/>
              </w:rPr>
              <w:t>22</w:t>
            </w:r>
            <w:r w:rsidR="004F03C9">
              <w:rPr>
                <w:rFonts w:ascii="Times New Roman" w:hAnsi="Times New Roman"/>
                <w:sz w:val="28"/>
                <w:szCs w:val="28"/>
              </w:rPr>
              <w:t>.04</w:t>
            </w:r>
            <w:r>
              <w:rPr>
                <w:rFonts w:ascii="Times New Roman" w:hAnsi="Times New Roman"/>
                <w:sz w:val="28"/>
                <w:szCs w:val="28"/>
              </w:rPr>
              <w:t>.2020 17:00:00 по местному времени.</w:t>
            </w:r>
          </w:p>
        </w:tc>
      </w:tr>
      <w:tr w:rsidR="00C3283C" w:rsidTr="00A7135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Руководитель контрактной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службы________________________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/Куликова И.О./</w:t>
            </w:r>
          </w:p>
        </w:tc>
      </w:tr>
      <w:tr w:rsidR="00C3283C" w:rsidTr="00A7135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C3283C" w:rsidTr="00A7135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C3283C" w:rsidTr="00A71359">
        <w:trPr>
          <w:trHeight w:val="60"/>
        </w:trPr>
        <w:tc>
          <w:tcPr>
            <w:tcW w:w="39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2047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3048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591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673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889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720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  <w:tc>
          <w:tcPr>
            <w:tcW w:w="1412" w:type="dxa"/>
            <w:shd w:val="clear" w:color="FFFFFF" w:fill="auto"/>
            <w:vAlign w:val="bottom"/>
          </w:tcPr>
          <w:p w:rsidR="00F070C9" w:rsidRDefault="00F070C9">
            <w:pPr>
              <w:rPr>
                <w:szCs w:val="16"/>
              </w:rPr>
            </w:pP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F070C9" w:rsidTr="004F03C9">
        <w:trPr>
          <w:trHeight w:val="60"/>
        </w:trPr>
        <w:tc>
          <w:tcPr>
            <w:tcW w:w="10773" w:type="dxa"/>
            <w:gridSpan w:val="8"/>
            <w:shd w:val="clear" w:color="FFFFFF" w:fill="auto"/>
            <w:vAlign w:val="bottom"/>
          </w:tcPr>
          <w:p w:rsidR="00F070C9" w:rsidRDefault="007254AA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CB6043" w:rsidRDefault="00CB6043"/>
    <w:sectPr w:rsidR="00CB6043" w:rsidSect="005B2B02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070C9"/>
    <w:rsid w:val="00150016"/>
    <w:rsid w:val="0027531F"/>
    <w:rsid w:val="00476743"/>
    <w:rsid w:val="004F03C9"/>
    <w:rsid w:val="005B2B02"/>
    <w:rsid w:val="007254AA"/>
    <w:rsid w:val="008E393E"/>
    <w:rsid w:val="00A71359"/>
    <w:rsid w:val="00C05948"/>
    <w:rsid w:val="00C3283C"/>
    <w:rsid w:val="00CB6043"/>
    <w:rsid w:val="00DB0FB4"/>
    <w:rsid w:val="00E87DC4"/>
    <w:rsid w:val="00F07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B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rsid w:val="005B2B02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EED0F66-0A8B-4957-93C1-4E32203652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299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2001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Алёшечкина Екатерина Александровна</dc:creator>
  <cp:lastModifiedBy>ОгрызковаТИ</cp:lastModifiedBy>
  <cp:revision>3</cp:revision>
  <dcterms:created xsi:type="dcterms:W3CDTF">2020-04-21T03:31:00Z</dcterms:created>
  <dcterms:modified xsi:type="dcterms:W3CDTF">2020-04-21T03:32:00Z</dcterms:modified>
</cp:coreProperties>
</file>