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4"/>
        <w:gridCol w:w="2588"/>
        <w:gridCol w:w="2862"/>
        <w:gridCol w:w="698"/>
        <w:gridCol w:w="629"/>
        <w:gridCol w:w="825"/>
        <w:gridCol w:w="1574"/>
        <w:gridCol w:w="1319"/>
      </w:tblGrid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 w:rsidRPr="007613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Pr="00761377" w:rsidRDefault="007613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13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Pr="00761377" w:rsidRDefault="00C91B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Pr="00761377" w:rsidRDefault="00C91B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Pr="00761377" w:rsidRDefault="00C91B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Pr="00761377" w:rsidRDefault="00C91B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Pr="00761377" w:rsidRDefault="00C91B0C">
            <w:pPr>
              <w:rPr>
                <w:szCs w:val="16"/>
                <w:lang w:val="en-US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 w:rsidP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1B0C" w:rsidRDefault="007613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Крышечки предохранительные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Предохранительные крышечки 200/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анализатолра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контрольный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и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иммунохимическими методами. Основа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человеческая сыворотка. Жидкая форма выпуска. 3 уровня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низкий, нормальный и высокий. Фасовка: 12 флаконов по 5 мл (низкий уровень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мл, нормальный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мл, высокий уровень 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 мл). Возможность работы на анализаторах различных производителей. Срок годности закрытой упаковки - не менее 2 лет с момента производства. Стабильность после вскрытия флакона - не менее 14 дней при условии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хранения при температуре от 2 до 8° С. Включает не менее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следуюшего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списка показателей: 11-деоксикортизол, 17-OH-прогестерон, 25-OH-витамин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ацетаминофен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АКТГ,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альфафетопротеин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(АФП), альдостерон,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амиодарон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амитриптилин,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андростендион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</w:t>
            </w:r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тиреоглобулину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антитела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тиреоидной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кофеин,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раковоэмбриональный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(РЭА),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кортизол, C-пептид,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дегидроэпиандростерон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дегидроэпиандр</w:t>
            </w:r>
            <w:r>
              <w:rPr>
                <w:rFonts w:ascii="Times New Roman" w:hAnsi="Times New Roman"/>
                <w:sz w:val="24"/>
                <w:szCs w:val="24"/>
              </w:rPr>
              <w:t>остеронсульфат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(ДГЭА-С),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дигоксин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дизопирамид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общий, эстрогены общие,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этосуксимид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флекаинид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фруктозамин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фолликулостимулирующий гормон (ФСГ),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гентамицин, глюкагон, хорионический гонадотроп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 (ХГЧ), свободная бета-субъединица ХГЧ, гормон роста,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имипрамин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иммунореактивный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трипсиноген, инсулин, железо,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 (ЛГ),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литий, NAPA,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нортриптилин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простатическая кислая фосфатаза,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фенобарбитал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пиримидон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прокаинамид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прогестерон, пролактин,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простатаспецифический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антиген (ПСА) , ПСА свободный, паратиреоидный гормон,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салицилат,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сексстероидсвязывающий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глобулин,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соматомедин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-C (инсулиноподобный факто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роста 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свободный (Т3 свободный),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общий (Т3), тироксинсвязывающая способность T3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тироксин свободный (Т4 свободный), тироксин общий (Т4), тироксинсвязывающий глобулин, тестостерон, тестостерон свободный, теофиллин,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реоглобулин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железосвязывающая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тиреотропный гормон (ТТГ),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 свободная,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витамин B12.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Фолликулостимулирующего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фолликулостимулирующего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25-гидроксивитамин D (25-OH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D) в сыворотке и плазме крови человека. Состав набора: 6 флаконов (по 4,0 мл каждый) с калибраторами ARCHITECT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Калибраторы A - 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буфер PBS с инактивированной нагреванием сывороткой крови лошади. Калибраторы B - F также содержат 25-OH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Совместим с иммунохимический автоматический анализатор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количественном определении кортизола в сыворотке и плазме крови и моче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пролактина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4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С-пептида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из 6-ти флаконов по 4 мл. Калибраторы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свободного тироксина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по 4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тиреотропного гормона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определении тестостерона в сыворотке и плазме крови человека.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25-OH витамин 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25-гидроксивитамина D (25-OH витамин D) в сыворотке и плазме крови человека. Состав набора (100 тестов): 1 флакон 13,3 мл с микрочастицами, сенсибилизированными антителами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витамину D (овечьи,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Минимальная концентр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ация: 0,05% твёрдых частиц.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5,9 мл с комплексом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биотинилированного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витамина D и акридин-меченого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BIS-TRIS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буфере с протеиновыми стабилизаторами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(гамма-глобулин бычьей крови) и детергентом. Минимальная концентрация: 1,2 мкг/мл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биотину и 0,1 мкг/мл витамин‑D‑биотина. Консервант: азид натрия. 1 флакон 4,9 мл с разбавителем теста, содержит буфер с уксусной кислотой и EDTA.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950. 1 флакон 10,0 мл с реагентом предварительной обработки 1,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 и 8-анилино-1-нафталинсульфоновую кислоту (ANSA). 1флакон 5,9 мл с реагентом предварительной обработки 2, содержит буфер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триэтанолам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метанолом и 8-анилино-1-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нафталинсульфоновую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кислоту (ANSA). Набор не менее 100 тестов. Совместим с иммунохимический автоматический анализатор АРХИТЕКТ i1000SR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паратиреоидного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>Кортизола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кортизола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и моче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лютеинизирующего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общего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общего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трийодтиронина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Пролактина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пролактина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С-пептида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С-пептида в сыворотке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свободного тироксина в сыворотке и плазме крови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Тестостерона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тестостерона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Фолликулостимулирующего гормона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фолликулостимулирующего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Пре-триггера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перекиси водорода в концентрации 1,32%, в упаковке 4 флаконов объемом 975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</w:t>
            </w:r>
            <w:r>
              <w:rPr>
                <w:rFonts w:ascii="Times New Roman" w:hAnsi="Times New Roman"/>
                <w:sz w:val="24"/>
                <w:szCs w:val="24"/>
              </w:rPr>
              <w:t>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Триггера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1,4%, в упаковке 4 флаконов объемом 975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ARCHITECT для ухода за зондом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из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флаконов по 25 мл. Кондиционирующий раствор для обработки 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Ячейки реакционные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</w:t>
            </w:r>
            <w:r>
              <w:rPr>
                <w:rFonts w:ascii="Times New Roman" w:hAnsi="Times New Roman"/>
                <w:sz w:val="24"/>
                <w:szCs w:val="24"/>
              </w:rPr>
              <w:t>упаковке не менее 4000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761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1B0C" w:rsidRDefault="00C91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по заявке заказчика с момента заключения контракта по 20.12.2021г. (не более 10 заявок).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0:00:00 по местному времени. 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1B0C" w:rsidRDefault="00C91B0C">
            <w:pPr>
              <w:rPr>
                <w:szCs w:val="16"/>
              </w:rPr>
            </w:pP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1B0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91B0C" w:rsidRDefault="00761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613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B0C"/>
    <w:rsid w:val="00761377"/>
    <w:rsid w:val="00C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0FF5-878F-45D9-B607-35174F9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2021-01-15T04:45:00Z</dcterms:created>
  <dcterms:modified xsi:type="dcterms:W3CDTF">2021-01-15T04:45:00Z</dcterms:modified>
</cp:coreProperties>
</file>