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F04079" w14:paraId="6696F9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14:paraId="5088E5B6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2EE14DE3" w14:textId="77777777" w:rsidR="00F04079" w:rsidRDefault="00F04079"/>
        </w:tc>
        <w:tc>
          <w:tcPr>
            <w:tcW w:w="2745" w:type="dxa"/>
            <w:gridSpan w:val="2"/>
            <w:shd w:val="clear" w:color="auto" w:fill="auto"/>
            <w:vAlign w:val="bottom"/>
          </w:tcPr>
          <w:p w14:paraId="1475BDFB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040608B9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76896012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0F377B98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5E8D1CCE" w14:textId="77777777" w:rsidR="00F04079" w:rsidRDefault="00F04079"/>
        </w:tc>
      </w:tr>
      <w:tr w:rsidR="00F04079" w14:paraId="1B4C71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14:paraId="48F18E70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75F23933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6889438C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74F152F5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69087FEE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0620C247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31C9D817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2773A9F9" w14:textId="77777777" w:rsidR="00F04079" w:rsidRDefault="00F04079"/>
        </w:tc>
      </w:tr>
      <w:tr w:rsidR="00F04079" w14:paraId="1522D9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14:paraId="5E9BBC66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1797799C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2921265F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77C9D609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15251B12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4B8C487F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5FC60A80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4B8DAC96" w14:textId="77777777" w:rsidR="00F04079" w:rsidRDefault="00F04079"/>
        </w:tc>
      </w:tr>
      <w:tr w:rsidR="00F04079" w14:paraId="3544AC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14:paraId="74FAEEE6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59ABED62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33BE9DF2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32BE227C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433DB328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310EE3A4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233FE9D0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65F9A53B" w14:textId="77777777" w:rsidR="00F04079" w:rsidRDefault="00F04079"/>
        </w:tc>
      </w:tr>
      <w:tr w:rsidR="00F04079" w14:paraId="6A1AF6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14:paraId="2687D84B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4481699F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33BDD154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141451D2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6A9391A5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3A475529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5D9AE726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1AA2942B" w14:textId="77777777" w:rsidR="00F04079" w:rsidRDefault="00F04079"/>
        </w:tc>
      </w:tr>
      <w:tr w:rsidR="00F04079" w:rsidRPr="002A3A7D" w14:paraId="39E66F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14:paraId="27757E59" w14:textId="77777777" w:rsidR="00F04079" w:rsidRPr="002A3A7D" w:rsidRDefault="002A3A7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A3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2A3A7D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617CE4B6" w14:textId="77777777" w:rsidR="00F04079" w:rsidRPr="002A3A7D" w:rsidRDefault="00F04079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0F5F05CB" w14:textId="77777777" w:rsidR="00F04079" w:rsidRPr="002A3A7D" w:rsidRDefault="00F04079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B6DF0E5" w14:textId="77777777" w:rsidR="00F04079" w:rsidRPr="002A3A7D" w:rsidRDefault="00F04079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14:paraId="53BF6B37" w14:textId="77777777" w:rsidR="00F04079" w:rsidRPr="002A3A7D" w:rsidRDefault="00F04079">
            <w:pPr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14:paraId="7180F7A4" w14:textId="77777777" w:rsidR="00F04079" w:rsidRPr="002A3A7D" w:rsidRDefault="00F04079">
            <w:pPr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BA94689" w14:textId="77777777" w:rsidR="00F04079" w:rsidRPr="002A3A7D" w:rsidRDefault="00F04079">
            <w:pPr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2803EEA1" w14:textId="77777777" w:rsidR="00F04079" w:rsidRPr="002A3A7D" w:rsidRDefault="00F04079">
            <w:pPr>
              <w:rPr>
                <w:lang w:val="en-US"/>
              </w:rPr>
            </w:pPr>
          </w:p>
        </w:tc>
      </w:tr>
      <w:tr w:rsidR="00F04079" w14:paraId="3C6DFA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14:paraId="585ED8F6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49B6477C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70E12C06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0962C311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2CE21168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77C29F64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0069ACA7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711136BE" w14:textId="77777777" w:rsidR="00F04079" w:rsidRDefault="00F04079"/>
        </w:tc>
      </w:tr>
      <w:tr w:rsidR="00F04079" w14:paraId="73BD1A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14:paraId="621FBE6F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76D99B1D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15208BDE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1CA27F85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2102C9D1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030508C2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732DA5EF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3943A927" w14:textId="77777777" w:rsidR="00F04079" w:rsidRDefault="00F04079"/>
        </w:tc>
      </w:tr>
      <w:tr w:rsidR="00F04079" w14:paraId="106223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14:paraId="38A133F8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1B5376DB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6C036727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59993AD4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6672B400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59704DCC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4465773B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039BF066" w14:textId="77777777" w:rsidR="00F04079" w:rsidRDefault="00F04079"/>
        </w:tc>
      </w:tr>
      <w:tr w:rsidR="00F04079" w14:paraId="76FEA3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14:paraId="200B7DD3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03.03.2023 г. №.__________</w:t>
            </w:r>
          </w:p>
        </w:tc>
        <w:tc>
          <w:tcPr>
            <w:tcW w:w="11520" w:type="dxa"/>
            <w:gridSpan w:val="7"/>
            <w:shd w:val="clear" w:color="auto" w:fill="auto"/>
            <w:vAlign w:val="bottom"/>
          </w:tcPr>
          <w:p w14:paraId="73E6C41E" w14:textId="77777777" w:rsidR="00F04079" w:rsidRDefault="00F04079"/>
        </w:tc>
      </w:tr>
      <w:tr w:rsidR="00F04079" w14:paraId="78598F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14:paraId="21C579D1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2FDF0365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19920393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119FD5A1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3BD32FF2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2FE32212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379EC722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614A3ED6" w14:textId="77777777" w:rsidR="00F04079" w:rsidRDefault="00F04079"/>
        </w:tc>
      </w:tr>
      <w:tr w:rsidR="00F04079" w14:paraId="69E440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1EE7DEF2" w14:textId="77777777" w:rsidR="00F04079" w:rsidRDefault="00F04079"/>
        </w:tc>
        <w:tc>
          <w:tcPr>
            <w:tcW w:w="2535" w:type="dxa"/>
            <w:shd w:val="clear" w:color="auto" w:fill="auto"/>
            <w:vAlign w:val="bottom"/>
          </w:tcPr>
          <w:p w14:paraId="40609A18" w14:textId="77777777" w:rsidR="00F04079" w:rsidRDefault="00F04079"/>
        </w:tc>
        <w:tc>
          <w:tcPr>
            <w:tcW w:w="3315" w:type="dxa"/>
            <w:shd w:val="clear" w:color="auto" w:fill="auto"/>
            <w:vAlign w:val="bottom"/>
          </w:tcPr>
          <w:p w14:paraId="55045CB0" w14:textId="77777777" w:rsidR="00F04079" w:rsidRDefault="00F04079"/>
        </w:tc>
        <w:tc>
          <w:tcPr>
            <w:tcW w:w="1125" w:type="dxa"/>
            <w:shd w:val="clear" w:color="auto" w:fill="auto"/>
            <w:vAlign w:val="bottom"/>
          </w:tcPr>
          <w:p w14:paraId="2364C134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6B54A5A1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2963051B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56C79AC6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42898016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3003A3E2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16B2F16B" w14:textId="77777777" w:rsidR="00F04079" w:rsidRDefault="00F04079"/>
        </w:tc>
      </w:tr>
      <w:tr w:rsidR="00F04079" w14:paraId="33A148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14:paraId="749CBB7C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3BD18500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6FE81BB3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367BA5E7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40985CC5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302BC0D8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1991D8B1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0B32B6F3" w14:textId="77777777" w:rsidR="00F04079" w:rsidRDefault="00F04079"/>
        </w:tc>
      </w:tr>
      <w:tr w:rsidR="00F04079" w14:paraId="499ED1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4D559793" w14:textId="77777777" w:rsidR="00F04079" w:rsidRDefault="00F04079"/>
        </w:tc>
        <w:tc>
          <w:tcPr>
            <w:tcW w:w="2535" w:type="dxa"/>
            <w:shd w:val="clear" w:color="auto" w:fill="auto"/>
            <w:vAlign w:val="bottom"/>
          </w:tcPr>
          <w:p w14:paraId="67A4CA7A" w14:textId="77777777" w:rsidR="00F04079" w:rsidRDefault="00F04079"/>
        </w:tc>
        <w:tc>
          <w:tcPr>
            <w:tcW w:w="3315" w:type="dxa"/>
            <w:shd w:val="clear" w:color="auto" w:fill="auto"/>
            <w:vAlign w:val="bottom"/>
          </w:tcPr>
          <w:p w14:paraId="37F88FA0" w14:textId="77777777" w:rsidR="00F04079" w:rsidRDefault="00F04079"/>
        </w:tc>
        <w:tc>
          <w:tcPr>
            <w:tcW w:w="1125" w:type="dxa"/>
            <w:shd w:val="clear" w:color="auto" w:fill="auto"/>
            <w:vAlign w:val="bottom"/>
          </w:tcPr>
          <w:p w14:paraId="55AAB6C7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1132DF57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67AEC76C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37256AA1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317867A6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732D17E1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23FA0502" w14:textId="77777777" w:rsidR="00F04079" w:rsidRDefault="00F04079"/>
        </w:tc>
      </w:tr>
      <w:tr w:rsidR="00F04079" w14:paraId="0B70C1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14:paraId="6CD2494D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14:paraId="5A53067B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3E2C9219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4EED94C2" w14:textId="77777777" w:rsidR="00F04079" w:rsidRDefault="00F04079"/>
        </w:tc>
      </w:tr>
      <w:tr w:rsidR="00F04079" w14:paraId="714693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14:paraId="7FC986D5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F04079" w14:paraId="135DC6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A444B4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EC941E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FB1DDD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B56E64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58DAA1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C82655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736E89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644793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1AA906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D2FDC2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F04079" w14:paraId="5EF52F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8B9018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23B272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Контур дыхательный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81B56E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Одноразовый дыхательный контур для высокопоточной кислородной терапии, используется вместе с генератором высокого назального потока. Контур должен состоять из обогреваемой дыхательной трубки для подачи </w:t>
            </w:r>
            <w:r>
              <w:rPr>
                <w:rFonts w:ascii="Times New Roman" w:hAnsi="Times New Roman"/>
                <w:sz w:val="24"/>
                <w:szCs w:val="24"/>
              </w:rPr>
              <w:t>увлажненных респираторных газов и камеры для воды. В состав должны входить самозаполняемая универсальная камера увлажнителя для подачи пациенту оптимально увлажненной дыхательной смеси (37 градусов С, 44 мг/л H2O) с автоматическим заполнением через встроен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ную линию подачи воды, защищённую колпачком при транспортировке, с держателем для хранения линии подачи воды в свёрнутом состоянии в верхней части камеры. Камера должна иметь безопасный механизм защиты от переполнения и поддержания постоянного уровня воды </w:t>
            </w:r>
            <w:r>
              <w:rPr>
                <w:rFonts w:ascii="Times New Roman" w:hAnsi="Times New Roman"/>
                <w:sz w:val="24"/>
                <w:szCs w:val="24"/>
              </w:rPr>
              <w:t>представленный двойной поплавковой системой. Камера должна быть оснащена индикатором оптимального уровня жидкости и индикатором работоспособности камеры. Порты камеры должны быть закрыты транспортировочной заглушкой. Камера должна иметь постоянный объем сж</w:t>
            </w:r>
            <w:r>
              <w:rPr>
                <w:rFonts w:ascii="Times New Roman" w:hAnsi="Times New Roman"/>
                <w:sz w:val="24"/>
                <w:szCs w:val="24"/>
              </w:rPr>
              <w:t>атия. Номинальный объем камеры не менее 265 мл и не более 285 мл, максимальный объем камеры не более 380 мл. Максимальный объем воды должен составлять не менее 160 мл. Растяжимость емкости увлажнителя должна быть не более 0,5 мл/см Н2О. Максимальное рабоче</w:t>
            </w:r>
            <w:r>
              <w:rPr>
                <w:rFonts w:ascii="Times New Roman" w:hAnsi="Times New Roman"/>
                <w:sz w:val="24"/>
                <w:szCs w:val="24"/>
              </w:rPr>
              <w:t>е давление не менее 6 кПа. Сопротивление потоку 60 л/мин: 0,52 см Н2О, утечка газа &lt;100 мл/мин, максимальный пиковый поток должен составлять не менее 170 л/мин (без вероятности разбрызгивания воды). Нагревающая пластина камеры должна быть изготовлена из ан</w:t>
            </w:r>
            <w:r>
              <w:rPr>
                <w:rFonts w:ascii="Times New Roman" w:hAnsi="Times New Roman"/>
                <w:sz w:val="24"/>
                <w:szCs w:val="24"/>
              </w:rPr>
              <w:t>одированного алюминия, корпус камеры – из АБС полилака и полистирола/К- ресина, поплавковая система – из полипропилена, клапанное устройство – из силикона. Контур должен представлять собой нагреваемую двойным спиральным проводом дыхательную трубку со встро</w:t>
            </w:r>
            <w:r>
              <w:rPr>
                <w:rFonts w:ascii="Times New Roman" w:hAnsi="Times New Roman"/>
                <w:sz w:val="24"/>
                <w:szCs w:val="24"/>
              </w:rPr>
              <w:t>енным датчиком температуры для подачи увлажненных респираторных газов. С одной стороны дыхательной трубки должна быть подвижная муфта с внутренним диаметром не менее 24 мм и не более 28 мм, подключаемая к аппарату для дальнейшего поддержания необходимой те</w:t>
            </w:r>
            <w:r>
              <w:rPr>
                <w:rFonts w:ascii="Times New Roman" w:hAnsi="Times New Roman"/>
                <w:sz w:val="24"/>
                <w:szCs w:val="24"/>
              </w:rPr>
              <w:t>мпературы внутри контура. Цветовая кодировка муфты – синий цвет. Другая сторона должна быть в виде специфичного коннектора с внутренним диаметром не менее 9 мм и не более 14 мм для подключения интерфейса пациента. Дыхательная трубка должна быть снабжена за</w:t>
            </w:r>
            <w:r>
              <w:rPr>
                <w:rFonts w:ascii="Times New Roman" w:hAnsi="Times New Roman"/>
                <w:sz w:val="24"/>
                <w:szCs w:val="24"/>
              </w:rPr>
              <w:t>жимом для фиксации на одежде или постельном белье. Длина контура без интерфейса должна составлять 1,8 м. Диаметр дыхательной линии - 22 мм. Контур не должен содержать латекс. Максимальный срок эксплуатации контура у одного пациента должен составлять не мен</w:t>
            </w:r>
            <w:r>
              <w:rPr>
                <w:rFonts w:ascii="Times New Roman" w:hAnsi="Times New Roman"/>
                <w:sz w:val="24"/>
                <w:szCs w:val="24"/>
              </w:rPr>
              <w:t>ее 14 дней. Индивидуальная клинически чистая упаковка. Контур должен быть совместим с генераторами высокого назального потока AIRVO/AIRVO 2, имеющимися у Заказчика. Количество в упаковке: не менее 10 шт.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19F3BB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A844AB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5F37FF" w14:textId="77777777" w:rsidR="00F04079" w:rsidRDefault="00F04079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F436B6" w14:textId="77777777" w:rsidR="00F04079" w:rsidRDefault="00F04079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E3AE5F" w14:textId="77777777" w:rsidR="00F04079" w:rsidRDefault="00F04079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A54C94" w14:textId="77777777" w:rsidR="00F04079" w:rsidRDefault="00F04079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7789FB" w14:textId="77777777" w:rsidR="00F04079" w:rsidRDefault="00F04079"/>
        </w:tc>
      </w:tr>
      <w:tr w:rsidR="00F04079" w14:paraId="29EC8F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20F9F6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226048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Канюля назальная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D48531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Одноразовая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назальная взрослая канюля  для удобной и эффективной доставки оптимально увлажненной дыхательной смеси с варьированием потока при проведении респираторной терапии. Назальная канюля с широким отверстием в виде нестерильной полужёсткой трубки для введения в </w:t>
            </w:r>
            <w:r>
              <w:rPr>
                <w:rFonts w:ascii="Times New Roman" w:hAnsi="Times New Roman"/>
                <w:sz w:val="24"/>
                <w:szCs w:val="24"/>
              </w:rPr>
              <w:t>ноздри пациента, фиксироваться на шее при помощи эластичного шнура. Данное медицинское изделие может быть использовано в различных видах терапии дыхательных системы, включая высокоскоростной назальный поток, низкоскоростной поток кислорода и увлажняющую те</w:t>
            </w:r>
            <w:r>
              <w:rPr>
                <w:rFonts w:ascii="Times New Roman" w:hAnsi="Times New Roman"/>
                <w:sz w:val="24"/>
                <w:szCs w:val="24"/>
              </w:rPr>
              <w:t>рапию. Компоненты системы: Мягкие назальный канюли анатомической формы; Гибкая, устойчивая к перекручиванию, дыхательная трубка 22 мм; Шарнирный коннектор со внутренней резьбой серого цвета; Гибкая шарнирная рукоятка белого цвета; Шнур синего цвета для кре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пления на шее пациента с разъемной клипсой; Защелка назальной канюли; Эластичный головной ремень. Технические характеристики: В системе с увлажнителем и контуром, диапазон допустимого потока составляет: от 10 до 50 л/мин. Сопротивление при скорости потока </w:t>
            </w:r>
            <w:r>
              <w:rPr>
                <w:rFonts w:ascii="Times New Roman" w:hAnsi="Times New Roman"/>
                <w:sz w:val="24"/>
                <w:szCs w:val="24"/>
              </w:rPr>
              <w:t>40 л/мин.: 1.14 кПа (11.6 см H2O). Размер (S) Маленький, диаметр назальных трубок не менее 4 мм не более 5 мм, расстояние между назальными трубками не менее 9 мм и не более 10 мм. Диапазон температур окружающей среды – 18-280. Длина системы от канюли до ко</w:t>
            </w:r>
            <w:r>
              <w:rPr>
                <w:rFonts w:ascii="Times New Roman" w:hAnsi="Times New Roman"/>
                <w:sz w:val="24"/>
                <w:szCs w:val="24"/>
              </w:rPr>
              <w:t>ннектора не менее 320 мм и не более 325 мм. Максимальный срок эксплуатации одним пациентом - 7 дней. Трубка должна быть гибкой, изготовленой на основе полупроницаемой мембраны на основе микроячеистой технологии - проницаема для паров воды, непроницаема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газов. Канюля должна быть совместима с увлажнителем Fisher&amp;Paykel Airvo2, и контурами 900PT500 и 900PT501, имеющимися у Заказчика. Условия производства: Изготовлено в условиях контролируемой производственной среды (чистое помещение). Каждая канюля клиниче</w:t>
            </w:r>
            <w:r>
              <w:rPr>
                <w:rFonts w:ascii="Times New Roman" w:hAnsi="Times New Roman"/>
                <w:sz w:val="24"/>
                <w:szCs w:val="24"/>
              </w:rPr>
              <w:t>ски чисто упакована. Количество в упаковке: 20 шт.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069D3C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CB1157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650AE6" w14:textId="77777777" w:rsidR="00F04079" w:rsidRDefault="00F04079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6000A8" w14:textId="77777777" w:rsidR="00F04079" w:rsidRDefault="00F04079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060479" w14:textId="77777777" w:rsidR="00F04079" w:rsidRDefault="00F04079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E66ED3" w14:textId="77777777" w:rsidR="00F04079" w:rsidRDefault="00F04079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365876" w14:textId="77777777" w:rsidR="00F04079" w:rsidRDefault="00F04079"/>
        </w:tc>
      </w:tr>
      <w:tr w:rsidR="00F04079" w14:paraId="73CCFF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48B7F2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C5B873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Соединение трахеостомическое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41DF3C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Соединение трахеостомическое для неинвазивной высокопоточной оксигенотерапии. Представляет собой трахеостомический коннектор с дыхательной трубкой. </w:t>
            </w:r>
            <w:r>
              <w:rPr>
                <w:rFonts w:ascii="Times New Roman" w:hAnsi="Times New Roman"/>
                <w:sz w:val="24"/>
                <w:szCs w:val="24"/>
              </w:rPr>
              <w:t>Дыхательная трубка изготовлена из армированной полупроницаемой мембраны на основе микроячеистой технологии, проницаема для паров воды и непроницаема для газов. Длина трубки должна составлять не менее 31 см и не более 34 см. Со стороны аппарата коннектор до</w:t>
            </w:r>
            <w:r>
              <w:rPr>
                <w:rFonts w:ascii="Times New Roman" w:hAnsi="Times New Roman"/>
                <w:sz w:val="24"/>
                <w:szCs w:val="24"/>
              </w:rPr>
              <w:t>лжен иметь двойной внешний шарнир 22 мм и внутренний шарнир с резьбой. Диаметр внутреннего шарнира не менее 7 мм и не более 9 мм. Со стороны пациента коннектор должен иметь отверстие для выдоха и аспирации мокроты, оснащенное съемным капюшоном высотой не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олее 35 мм, шириной не менее 33,5 мм и не более 37,5 мм. Капюшон должен вращаться на 360 градусов. Общая длина коннектора с капюшоном должна составлять не более 65 мм. Рабочие показатели влажности воздушной среды в соединении должны составлять не менее 33 </w:t>
            </w:r>
            <w:r>
              <w:rPr>
                <w:rFonts w:ascii="Times New Roman" w:hAnsi="Times New Roman"/>
                <w:sz w:val="24"/>
                <w:szCs w:val="24"/>
              </w:rPr>
              <w:t>мг/л. Общий диапазон скорости потока 10-60 л/мин. Сопротивление по потоку при его скорости 40 л/мин должно составлять 0,16 кПа (3 смH2O). В комплекте должен быть шнур для фиксации на шее пациента, изготовленный из нейлона и лайкры, длиной не менее 74 см.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аксимальный срок использования трахеостомического соединения с генератором потока у одного пациента не более 7 дней. Материалы изготовления: полиэфир эфир эластомер, полиэтилен высокой плотности, полипропилен, термопластичный эластомер, полиэтилен высокой </w:t>
            </w:r>
            <w:r>
              <w:rPr>
                <w:rFonts w:ascii="Times New Roman" w:hAnsi="Times New Roman"/>
                <w:sz w:val="24"/>
                <w:szCs w:val="24"/>
              </w:rPr>
              <w:t>плотности. Не содержит латекса. Индивидуальная клинически чистая упаковка. Количество в упаковке не менее 20 шт. Соединение должно быть совместимо с генераторами высокого назального потока AIRVO 2, имеющимися у Заказчика.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1DB0E8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1858EB" w14:textId="77777777" w:rsidR="00F04079" w:rsidRDefault="002A3A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1828C1" w14:textId="77777777" w:rsidR="00F04079" w:rsidRDefault="00F04079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E057D7" w14:textId="77777777" w:rsidR="00F04079" w:rsidRDefault="00F04079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96CA3E" w14:textId="77777777" w:rsidR="00F04079" w:rsidRDefault="00F04079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D97F2A" w14:textId="77777777" w:rsidR="00F04079" w:rsidRDefault="00F04079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F07BE0" w14:textId="77777777" w:rsidR="00F04079" w:rsidRDefault="00F04079"/>
        </w:tc>
      </w:tr>
      <w:tr w:rsidR="00F04079" w14:paraId="7C79E04D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14:paraId="1A742FB2" w14:textId="77777777" w:rsidR="00F04079" w:rsidRDefault="00F04079"/>
        </w:tc>
        <w:tc>
          <w:tcPr>
            <w:tcW w:w="2535" w:type="dxa"/>
            <w:shd w:val="clear" w:color="auto" w:fill="auto"/>
            <w:vAlign w:val="bottom"/>
          </w:tcPr>
          <w:p w14:paraId="76567C21" w14:textId="77777777" w:rsidR="00F04079" w:rsidRDefault="00F04079"/>
        </w:tc>
        <w:tc>
          <w:tcPr>
            <w:tcW w:w="3315" w:type="dxa"/>
            <w:shd w:val="clear" w:color="auto" w:fill="auto"/>
            <w:vAlign w:val="bottom"/>
          </w:tcPr>
          <w:p w14:paraId="6EE4EE3A" w14:textId="77777777" w:rsidR="00F04079" w:rsidRDefault="00F04079"/>
        </w:tc>
        <w:tc>
          <w:tcPr>
            <w:tcW w:w="1125" w:type="dxa"/>
            <w:shd w:val="clear" w:color="auto" w:fill="auto"/>
            <w:vAlign w:val="bottom"/>
          </w:tcPr>
          <w:p w14:paraId="5F942B2B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5248F373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53B07305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33396467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3BCD983D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59562750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592F0905" w14:textId="77777777" w:rsidR="00F04079" w:rsidRDefault="00F04079"/>
        </w:tc>
      </w:tr>
      <w:tr w:rsidR="00F04079" w14:paraId="6C4B80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14:paraId="6A9EE1DB" w14:textId="77777777" w:rsidR="00F04079" w:rsidRDefault="002A3A7D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поставку..</w:t>
            </w:r>
          </w:p>
        </w:tc>
      </w:tr>
      <w:tr w:rsidR="00F04079" w14:paraId="151264DE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14:paraId="2788B958" w14:textId="77777777" w:rsidR="00F04079" w:rsidRDefault="00F04079"/>
        </w:tc>
        <w:tc>
          <w:tcPr>
            <w:tcW w:w="2535" w:type="dxa"/>
            <w:shd w:val="clear" w:color="auto" w:fill="auto"/>
            <w:vAlign w:val="bottom"/>
          </w:tcPr>
          <w:p w14:paraId="433B301F" w14:textId="77777777" w:rsidR="00F04079" w:rsidRDefault="00F04079"/>
        </w:tc>
        <w:tc>
          <w:tcPr>
            <w:tcW w:w="3315" w:type="dxa"/>
            <w:shd w:val="clear" w:color="auto" w:fill="auto"/>
            <w:vAlign w:val="bottom"/>
          </w:tcPr>
          <w:p w14:paraId="50B1F638" w14:textId="77777777" w:rsidR="00F04079" w:rsidRDefault="00F04079"/>
        </w:tc>
        <w:tc>
          <w:tcPr>
            <w:tcW w:w="1125" w:type="dxa"/>
            <w:shd w:val="clear" w:color="auto" w:fill="auto"/>
            <w:vAlign w:val="bottom"/>
          </w:tcPr>
          <w:p w14:paraId="563F9DD5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6196C5E6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7032FA5E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6EBBE4FA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394C3C56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3CB39046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4FB2AFE3" w14:textId="77777777" w:rsidR="00F04079" w:rsidRDefault="00F04079"/>
        </w:tc>
      </w:tr>
      <w:tr w:rsidR="00F04079" w14:paraId="0C7F6F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14:paraId="7DB46479" w14:textId="77777777" w:rsidR="00F04079" w:rsidRDefault="002A3A7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F04079" w14:paraId="5AC4C500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14:paraId="0FDC608B" w14:textId="77777777" w:rsidR="00F04079" w:rsidRDefault="00F04079"/>
        </w:tc>
        <w:tc>
          <w:tcPr>
            <w:tcW w:w="2535" w:type="dxa"/>
            <w:shd w:val="clear" w:color="auto" w:fill="auto"/>
            <w:vAlign w:val="bottom"/>
          </w:tcPr>
          <w:p w14:paraId="147069FF" w14:textId="77777777" w:rsidR="00F04079" w:rsidRDefault="00F04079"/>
        </w:tc>
        <w:tc>
          <w:tcPr>
            <w:tcW w:w="3315" w:type="dxa"/>
            <w:shd w:val="clear" w:color="auto" w:fill="auto"/>
            <w:vAlign w:val="bottom"/>
          </w:tcPr>
          <w:p w14:paraId="379F29A3" w14:textId="77777777" w:rsidR="00F04079" w:rsidRDefault="00F04079"/>
        </w:tc>
        <w:tc>
          <w:tcPr>
            <w:tcW w:w="1125" w:type="dxa"/>
            <w:shd w:val="clear" w:color="auto" w:fill="auto"/>
            <w:vAlign w:val="bottom"/>
          </w:tcPr>
          <w:p w14:paraId="700D2F6C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44E140F0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10851706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5CD100DE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591B2D9F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02B218F6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057453F0" w14:textId="77777777" w:rsidR="00F04079" w:rsidRDefault="00F04079"/>
        </w:tc>
      </w:tr>
      <w:tr w:rsidR="00F04079" w14:paraId="5FF3E2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14:paraId="49C68547" w14:textId="77777777" w:rsidR="00F04079" w:rsidRDefault="002A3A7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F04079" w14:paraId="0D740B11" w14:textId="77777777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14:paraId="2A364CE6" w14:textId="77777777" w:rsidR="00F04079" w:rsidRDefault="00F04079"/>
        </w:tc>
        <w:tc>
          <w:tcPr>
            <w:tcW w:w="2535" w:type="dxa"/>
            <w:shd w:val="clear" w:color="auto" w:fill="auto"/>
            <w:vAlign w:val="bottom"/>
          </w:tcPr>
          <w:p w14:paraId="0030EFA5" w14:textId="77777777" w:rsidR="00F04079" w:rsidRDefault="00F04079"/>
        </w:tc>
        <w:tc>
          <w:tcPr>
            <w:tcW w:w="3315" w:type="dxa"/>
            <w:shd w:val="clear" w:color="auto" w:fill="auto"/>
            <w:vAlign w:val="bottom"/>
          </w:tcPr>
          <w:p w14:paraId="7066497B" w14:textId="77777777" w:rsidR="00F04079" w:rsidRDefault="00F04079"/>
        </w:tc>
        <w:tc>
          <w:tcPr>
            <w:tcW w:w="1125" w:type="dxa"/>
            <w:shd w:val="clear" w:color="auto" w:fill="auto"/>
            <w:vAlign w:val="bottom"/>
          </w:tcPr>
          <w:p w14:paraId="1F1DEAE6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59C93B1E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17EDC545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17B5939A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2BEC42E1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21CE739A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0835A7D3" w14:textId="77777777" w:rsidR="00F04079" w:rsidRDefault="00F04079"/>
        </w:tc>
      </w:tr>
      <w:tr w:rsidR="00F04079" w14:paraId="278F98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14:paraId="37D9549B" w14:textId="4A4D915A" w:rsidR="00F04079" w:rsidRDefault="002A3A7D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.03.2023 17:00:00 по местному времени. </w:t>
            </w:r>
          </w:p>
        </w:tc>
      </w:tr>
      <w:tr w:rsidR="00F04079" w14:paraId="5F4BAE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4AD83AF5" w14:textId="77777777" w:rsidR="00F04079" w:rsidRDefault="00F04079"/>
        </w:tc>
        <w:tc>
          <w:tcPr>
            <w:tcW w:w="2535" w:type="dxa"/>
            <w:shd w:val="clear" w:color="auto" w:fill="auto"/>
            <w:vAlign w:val="bottom"/>
          </w:tcPr>
          <w:p w14:paraId="645AB845" w14:textId="77777777" w:rsidR="00F04079" w:rsidRDefault="00F04079"/>
        </w:tc>
        <w:tc>
          <w:tcPr>
            <w:tcW w:w="3315" w:type="dxa"/>
            <w:shd w:val="clear" w:color="auto" w:fill="auto"/>
            <w:vAlign w:val="bottom"/>
          </w:tcPr>
          <w:p w14:paraId="075C2528" w14:textId="77777777" w:rsidR="00F04079" w:rsidRDefault="00F04079"/>
        </w:tc>
        <w:tc>
          <w:tcPr>
            <w:tcW w:w="1125" w:type="dxa"/>
            <w:shd w:val="clear" w:color="auto" w:fill="auto"/>
            <w:vAlign w:val="bottom"/>
          </w:tcPr>
          <w:p w14:paraId="750A2D32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2274C3D0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7488C4B9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3DEFD5F5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34EFEF72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73C1C147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6B20AAF7" w14:textId="77777777" w:rsidR="00F04079" w:rsidRDefault="00F04079"/>
        </w:tc>
      </w:tr>
      <w:tr w:rsidR="00F04079" w14:paraId="2F6A66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14:paraId="756E9C2D" w14:textId="77777777" w:rsidR="00F04079" w:rsidRDefault="002A3A7D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F04079" w14:paraId="4E94A7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1FF3DB7E" w14:textId="77777777" w:rsidR="00F04079" w:rsidRDefault="00F04079"/>
        </w:tc>
        <w:tc>
          <w:tcPr>
            <w:tcW w:w="2535" w:type="dxa"/>
            <w:shd w:val="clear" w:color="auto" w:fill="auto"/>
            <w:vAlign w:val="bottom"/>
          </w:tcPr>
          <w:p w14:paraId="69383628" w14:textId="77777777" w:rsidR="00F04079" w:rsidRDefault="00F04079"/>
        </w:tc>
        <w:tc>
          <w:tcPr>
            <w:tcW w:w="3315" w:type="dxa"/>
            <w:shd w:val="clear" w:color="auto" w:fill="auto"/>
            <w:vAlign w:val="bottom"/>
          </w:tcPr>
          <w:p w14:paraId="2C827E04" w14:textId="77777777" w:rsidR="00F04079" w:rsidRDefault="00F04079"/>
        </w:tc>
        <w:tc>
          <w:tcPr>
            <w:tcW w:w="1125" w:type="dxa"/>
            <w:shd w:val="clear" w:color="auto" w:fill="auto"/>
            <w:vAlign w:val="bottom"/>
          </w:tcPr>
          <w:p w14:paraId="25291EFF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3596D150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75E8B823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7BECFAE4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4D61F77C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42603739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0033641F" w14:textId="77777777" w:rsidR="00F04079" w:rsidRDefault="00F04079"/>
        </w:tc>
      </w:tr>
      <w:tr w:rsidR="00F04079" w14:paraId="43079A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37F02921" w14:textId="77777777" w:rsidR="00F04079" w:rsidRDefault="00F04079"/>
        </w:tc>
        <w:tc>
          <w:tcPr>
            <w:tcW w:w="2535" w:type="dxa"/>
            <w:shd w:val="clear" w:color="auto" w:fill="auto"/>
            <w:vAlign w:val="bottom"/>
          </w:tcPr>
          <w:p w14:paraId="1366A418" w14:textId="77777777" w:rsidR="00F04079" w:rsidRDefault="00F04079"/>
        </w:tc>
        <w:tc>
          <w:tcPr>
            <w:tcW w:w="3315" w:type="dxa"/>
            <w:shd w:val="clear" w:color="auto" w:fill="auto"/>
            <w:vAlign w:val="bottom"/>
          </w:tcPr>
          <w:p w14:paraId="63B1DCAC" w14:textId="77777777" w:rsidR="00F04079" w:rsidRDefault="00F04079"/>
        </w:tc>
        <w:tc>
          <w:tcPr>
            <w:tcW w:w="1125" w:type="dxa"/>
            <w:shd w:val="clear" w:color="auto" w:fill="auto"/>
            <w:vAlign w:val="bottom"/>
          </w:tcPr>
          <w:p w14:paraId="396B95EA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6F630D45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4600F30C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2D78EB40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12E5D291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15CBAFC3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42229053" w14:textId="77777777" w:rsidR="00F04079" w:rsidRDefault="00F04079"/>
        </w:tc>
      </w:tr>
      <w:tr w:rsidR="00F04079" w14:paraId="344693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15C835A8" w14:textId="77777777" w:rsidR="00F04079" w:rsidRDefault="00F04079"/>
        </w:tc>
        <w:tc>
          <w:tcPr>
            <w:tcW w:w="2535" w:type="dxa"/>
            <w:shd w:val="clear" w:color="auto" w:fill="auto"/>
            <w:vAlign w:val="bottom"/>
          </w:tcPr>
          <w:p w14:paraId="3CBF1E36" w14:textId="77777777" w:rsidR="00F04079" w:rsidRDefault="00F04079"/>
        </w:tc>
        <w:tc>
          <w:tcPr>
            <w:tcW w:w="3315" w:type="dxa"/>
            <w:shd w:val="clear" w:color="auto" w:fill="auto"/>
            <w:vAlign w:val="bottom"/>
          </w:tcPr>
          <w:p w14:paraId="0AF6CF98" w14:textId="77777777" w:rsidR="00F04079" w:rsidRDefault="00F04079"/>
        </w:tc>
        <w:tc>
          <w:tcPr>
            <w:tcW w:w="1125" w:type="dxa"/>
            <w:shd w:val="clear" w:color="auto" w:fill="auto"/>
            <w:vAlign w:val="bottom"/>
          </w:tcPr>
          <w:p w14:paraId="3986A2C1" w14:textId="77777777" w:rsidR="00F04079" w:rsidRDefault="00F04079"/>
        </w:tc>
        <w:tc>
          <w:tcPr>
            <w:tcW w:w="1275" w:type="dxa"/>
            <w:shd w:val="clear" w:color="auto" w:fill="auto"/>
            <w:vAlign w:val="bottom"/>
          </w:tcPr>
          <w:p w14:paraId="7D1EAA37" w14:textId="77777777" w:rsidR="00F04079" w:rsidRDefault="00F04079"/>
        </w:tc>
        <w:tc>
          <w:tcPr>
            <w:tcW w:w="1470" w:type="dxa"/>
            <w:shd w:val="clear" w:color="auto" w:fill="auto"/>
            <w:vAlign w:val="bottom"/>
          </w:tcPr>
          <w:p w14:paraId="1C74F399" w14:textId="77777777" w:rsidR="00F04079" w:rsidRDefault="00F04079"/>
        </w:tc>
        <w:tc>
          <w:tcPr>
            <w:tcW w:w="2100" w:type="dxa"/>
            <w:shd w:val="clear" w:color="auto" w:fill="auto"/>
            <w:vAlign w:val="bottom"/>
          </w:tcPr>
          <w:p w14:paraId="4DB1F28C" w14:textId="77777777" w:rsidR="00F04079" w:rsidRDefault="00F04079"/>
        </w:tc>
        <w:tc>
          <w:tcPr>
            <w:tcW w:w="1995" w:type="dxa"/>
            <w:shd w:val="clear" w:color="auto" w:fill="auto"/>
            <w:vAlign w:val="bottom"/>
          </w:tcPr>
          <w:p w14:paraId="3EB2C704" w14:textId="77777777" w:rsidR="00F04079" w:rsidRDefault="00F04079"/>
        </w:tc>
        <w:tc>
          <w:tcPr>
            <w:tcW w:w="1650" w:type="dxa"/>
            <w:shd w:val="clear" w:color="auto" w:fill="auto"/>
            <w:vAlign w:val="bottom"/>
          </w:tcPr>
          <w:p w14:paraId="6B89BC57" w14:textId="77777777" w:rsidR="00F04079" w:rsidRDefault="00F04079"/>
        </w:tc>
        <w:tc>
          <w:tcPr>
            <w:tcW w:w="1905" w:type="dxa"/>
            <w:shd w:val="clear" w:color="auto" w:fill="auto"/>
            <w:vAlign w:val="bottom"/>
          </w:tcPr>
          <w:p w14:paraId="1E0B5848" w14:textId="77777777" w:rsidR="00F04079" w:rsidRDefault="00F04079"/>
        </w:tc>
      </w:tr>
      <w:tr w:rsidR="00F04079" w14:paraId="21E2F7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14:paraId="129965CC" w14:textId="77777777" w:rsidR="00F04079" w:rsidRDefault="002A3A7D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F04079" w14:paraId="37BF09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14:paraId="1B3768E0" w14:textId="77777777" w:rsidR="00F04079" w:rsidRDefault="002A3A7D"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14:paraId="36DE5E8F" w14:textId="77777777" w:rsidR="00000000" w:rsidRDefault="002A3A7D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079"/>
    <w:rsid w:val="002A3A7D"/>
    <w:rsid w:val="00F0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02EF"/>
  <w15:docId w15:val="{DC03513F-0660-476E-BA6C-FCD85F6E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2023-03-09T04:24:00Z</dcterms:created>
  <dcterms:modified xsi:type="dcterms:W3CDTF">2023-03-09T04:24:00Z</dcterms:modified>
</cp:coreProperties>
</file>