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945"/>
        <w:gridCol w:w="2535"/>
        <w:gridCol w:w="3315"/>
        <w:gridCol w:w="1125"/>
        <w:gridCol w:w="1275"/>
        <w:gridCol w:w="1470"/>
        <w:gridCol w:w="2100"/>
        <w:gridCol w:w="1995"/>
        <w:gridCol w:w="1650"/>
        <w:gridCol w:w="1905"/>
      </w:tblGrid>
      <w:tr>
        <w:trPr>
          <w:cantSplit/>
          <w:trHeight w:val="0" w:hRule="auto"/>
        </w:trPr>
        <w:tc>
          <w:tcPr>
            <w:tcW w:w="6795" w:type="dxa"/>
            <w:gridSpan w:val="3"/>
            <w:shd w:val="clear" w:color="auto" w:fill="auto"/>
            <w:textDirection w:val="lrTb"/>
            <w:vAlign w:val="bottom"/>
          </w:tcPr>
          <w:p>
            <w:pPr>
              <w:spacing w:after="0"/>
              <w:wordWrap w:val="1"/>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textDirection w:val="lrTb"/>
            <w:vAlign w:val="bottom"/>
          </w:tcPr>
          <w:p>
            <w:pPr>
              <w:spacing w:after="0"/>
              <w:jc w:val="left"/>
            </w:pPr>
          </w:p>
        </w:tc>
        <w:tc>
          <w:tcPr>
            <w:tcW w:w="2745" w:type="dxa"/>
            <w:gridSpan w:val="2"/>
            <w:shd w:val="clear" w:color="auto" w:fill="auto"/>
            <w:textDirection w:val="lrTb"/>
            <w:vAlign w:val="bottom"/>
          </w:tcPr>
          <w:p>
            <w:pPr>
              <w:spacing w:after="0"/>
              <w:jc w:val="center"/>
            </w:pPr>
            <w:r>
              <w:rPr>
                <w:rFonts w:ascii="Times New Roman" w:hAnsi="Times New Roman"/>
                <w:sz w:val="24"/>
                <w:szCs w:val="24"/>
              </w:rPr>
              <w:t>Руководителю </w:t>
            </w: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Краевая клиническая больница</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ул. П. Железняка, 3, г. Красноярск, 660022</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Телефон: 8 (391) 226-99-97</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Факс: 8 (391) 220-16-23</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Е-mail: kkb@ medqorod. ru</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Http://www.medgorod.ru</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ОКПО 01913234</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ИНН/КПП 2465030876/246501001</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03.03.2023 г. №.__________</w:t>
            </w:r>
          </w:p>
        </w:tc>
        <w:tc>
          <w:tcPr>
            <w:tcW w:w="11520" w:type="dxa"/>
            <w:gridSpan w:val="7"/>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На №_________ от ________________</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О коммерческом предложении</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2765" w:type="dxa"/>
            <w:gridSpan w:val="7"/>
            <w:shd w:val="clear" w:color="auto" w:fill="auto"/>
            <w:textDirection w:val="lrTb"/>
            <w:vAlign w:val="bottom"/>
          </w:tcPr>
          <w:p>
            <w:pPr>
              <w:spacing w:after="0"/>
              <w:jc w:val="center"/>
            </w:pPr>
            <w:r>
              <w:rPr>
                <w:rFonts w:ascii="Times New Roman" w:hAnsi="Times New Roman"/>
                <w:b/>
                <w:sz w:val="28"/>
                <w:szCs w:val="28"/>
              </w:rPr>
              <w:t>Уважаемые господа!</w:t>
            </w: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Код вида МИ</w:t>
            </w: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Контур дыхательный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Одноразовый дыхательный контур для высокопоточной кислородной терапии, используется вместе с генератором высокого назального потока. Контур должен состоять из обогреваемой дыхательной трубки для подачи увлажненных респираторных газов и камеры для воды. В состав должны входить самозаполняемая универсальная камера увлажнителя для подачи пациенту оптимально увлажненной дыхательной смеси (37 градусов С, 44 мг/л H2O) с автоматическим заполнением через встроенную линию подачи воды, защищённую колпачком при транспортировке, с держателем для хранения линии подачи воды в свёрнутом состоянии в верхней части камеры. Камера должна иметь безопасный механизм защиты от переполнения и поддержания постоянного уровня воды представленный двойной поплавковой системой. Камера должна быть оснащена индикатором оптимального уровня жидкости и индикатором работоспособности камеры. Порты камеры должны быть закрыты транспортировочной заглушкой. Камера должна иметь постоянный объем сжатия. Номинальный объем камеры не менее 265 мл и не более 285 мл, максимальный объем камеры не более 380 мл. Максимальный объем воды должен составлять не менее 160 мл. Растяжимость емкости увлажнителя должна быть не более 0,5 мл/см Н2О. Максимальное рабочее давление не менее 6 кПа. Сопротивление потоку 60 л/мин: 0,52 см Н2О, утечка газа &lt;100 мл/мин, максимальный пиковый поток должен составлять не менее 170 л/мин (без вероятности разбрызгивания воды). Нагревающая пластина камеры должна быть изготовлена из анодированного алюминия, корпус камеры – из АБС полилака и полистирола/К- ресина, поплавковая система – из полипропилена, клапанное устройство – из силикона. Контур должен представлять собой нагреваемую двойным спиральным проводом дыхательную трубку со встроенным датчиком температуры для подачи увлажненных респираторных газов. С одной стороны дыхательной трубки должна быть подвижная муфта с внутренним диаметром не менее 24 мм и не более 28 мм, подключаемая к аппарату для дальнейшего поддержания необходимой температуры внутри контура. Цветовая кодировка муфты – синий цвет. Другая сторона должна быть в виде специфичного коннектора с внутренним диаметром не менее 9 мм и не более 14 мм для подключения интерфейса пациента. Дыхательная трубка должна быть снабжена зажимом для фиксации на одежде или постельном белье. Длина контура без интерфейса должна составлять 1,8 м. Диаметр дыхательной линии - 22 мм. Контур не должен содержать латекс. Максимальный срок эксплуатации контура у одного пациента должен составлять не менее 14 дней. Индивидуальная клинически чистая упаковка. Контур должен быть совместим с генераторами высокого назального потока AIRVO/AIRVO 2, имеющимися у Заказчика. Количество в упаковке: не менее 10 шт.</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Канюля назальная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Одноразовая назальная взрослая канюля  для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головной ремень. Технические характеристики: В системе с увлажнителем и контуром, диапазон допустимого потока составляет: от 10 до 50 л/мин. Сопротивление при скорости потока 40 л/мин.: 1.14 кПа (11.6 см H2O). Размер (S) Маленький, диаметр назальных трубок не менее 4 мм не более 5 мм, расстояние между назальными трубками не менее 9 мм и не более 10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3</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Соединение трахеостомическое</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Соединение трахеостомическое для неинвазивной высокопоточной оксигенотерапии. Представляет собой трахеостомический коннектор с дыхательной трубкой. Дыхательная трубка изготовлена из армированной полупроницаемой мембраны на основе микроячеистой технологии, проницаема для паров воды и непроницаема для газов. Длина трубки должна составлять не менее 31 см и не более 34 см. Со стороны аппарата коннектор должен иметь двойной внешний шарнир 22 мм и внутренний шарнир с резьбой. Диаметр внутреннего шарнира не менее 7 мм и не более 9 мм. Со стороны пациента коннектор должен иметь отверстие для выдоха и аспирации мокроты, оснащенное съемным капюшоном высотой не более 35 мм, шириной не менее 33,5 мм и не более 37,5 мм. Капюшон должен вращаться на 360 градусов. Общая длина коннектора с капюшоном должна составлять не более 65 мм. Рабочие показатели влажности воздушной среды в соединении должны составлять не менее 33 мг/л. Общий диапазон скорости потока 10-60 л/мин. Сопротивление по потоку при его скорости 40 л/мин должно составлять 0,16 кПа (3 смH2O). В комплекте должен быть шнур для фиксации на шее пациента, изготовленный из нейлона и лайкры, длиной не менее 74 см. Максимальный срок использования трахеостомического соединения с генератором потока у одного пациента не более 7 дней. Материалы изготовления: полиэфир эфир эластомер, полиэтилен высокой плотности, полипропилен, термопластичный эластомер, полиэтилен высокой плотности. Не содержит латекса. Индивидуальная клинически чистая упаковка. Количество в упаковке не менее 20 шт. Соединение должно быть совместимо с генераторами высокого назального потока AIRVO 2, имеющимися у Заказчика.</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375"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left"/>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trPr>
          <w:cantSplit/>
          <w:trHeight w:val="120"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cantSplit/>
          <w:trHeight w:val="120" w:hRule="atLeast"/>
        </w:trPr>
        <w:tc>
          <w:tcPr>
            <w:tcW w:w="945" w:type="dxa"/>
            <w:shd w:val="clear" w:color="auto" w:fill="auto"/>
            <w:textDirection w:val="lrTb"/>
            <w:vAlign w:val="bottom"/>
          </w:tcPr>
          <w:p>
            <w:pPr>
              <w:spacing w:after="0"/>
              <w:wordWrap w:val="1"/>
              <w:jc w:val="left"/>
            </w:pPr>
          </w:p>
        </w:tc>
        <w:tc>
          <w:tcPr>
            <w:tcW w:w="2535" w:type="dxa"/>
            <w:shd w:val="clear" w:color="auto" w:fill="auto"/>
            <w:textDirection w:val="lrTb"/>
            <w:vAlign w:val="bottom"/>
          </w:tcPr>
          <w:p>
            <w:pPr>
              <w:spacing w:after="0"/>
              <w:wordWrap w:val="1"/>
              <w:jc w:val="left"/>
            </w:pPr>
          </w:p>
        </w:tc>
        <w:tc>
          <w:tcPr>
            <w:tcW w:w="3315" w:type="dxa"/>
            <w:shd w:val="clear" w:color="auto" w:fill="auto"/>
            <w:textDirection w:val="lrTb"/>
            <w:vAlign w:val="bottom"/>
          </w:tcPr>
          <w:p>
            <w:pPr>
              <w:spacing w:after="0"/>
              <w:wordWrap w:val="1"/>
              <w:jc w:val="left"/>
            </w:pPr>
          </w:p>
        </w:tc>
        <w:tc>
          <w:tcPr>
            <w:tcW w:w="1125" w:type="dxa"/>
            <w:shd w:val="clear" w:color="auto" w:fill="auto"/>
            <w:textDirection w:val="lrTb"/>
            <w:vAlign w:val="bottom"/>
          </w:tcPr>
          <w:p>
            <w:pPr>
              <w:spacing w:after="0"/>
              <w:wordWrap w:val="1"/>
              <w:jc w:val="left"/>
            </w:pPr>
          </w:p>
        </w:tc>
        <w:tc>
          <w:tcPr>
            <w:tcW w:w="1275" w:type="dxa"/>
            <w:shd w:val="clear" w:color="auto" w:fill="auto"/>
            <w:textDirection w:val="lrTb"/>
            <w:vAlign w:val="bottom"/>
          </w:tcPr>
          <w:p>
            <w:pPr>
              <w:spacing w:after="0"/>
              <w:wordWrap w:val="1"/>
              <w:jc w:val="left"/>
            </w:pPr>
          </w:p>
        </w:tc>
        <w:tc>
          <w:tcPr>
            <w:tcW w:w="1470" w:type="dxa"/>
            <w:shd w:val="clear" w:color="auto" w:fill="auto"/>
            <w:textDirection w:val="lrTb"/>
            <w:vAlign w:val="bottom"/>
          </w:tcPr>
          <w:p>
            <w:pPr>
              <w:spacing w:after="0"/>
              <w:wordWrap w:val="1"/>
              <w:jc w:val="left"/>
            </w:pPr>
          </w:p>
        </w:tc>
        <w:tc>
          <w:tcPr>
            <w:tcW w:w="2100" w:type="dxa"/>
            <w:shd w:val="clear" w:color="auto" w:fill="auto"/>
            <w:textDirection w:val="lrTb"/>
            <w:vAlign w:val="bottom"/>
          </w:tcPr>
          <w:p>
            <w:pPr>
              <w:spacing w:after="0"/>
              <w:wordWrap w:val="1"/>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trPr>
          <w:cantSplit/>
          <w:trHeight w:val="165"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 xml:space="preserve">       Предложения принимаются в срок до 09.03.2023 17:00:00 по местному времени. </w:t>
            </w: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Руководитель контрактной службы________________________/Алешечкина Е.А./</w:t>
            </w: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Исполнитель:</w:t>
            </w: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