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 w:rsidRPr="00A415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Pr="00A415A2" w:rsidRDefault="00A415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1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415A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0FC1" w:rsidRPr="00A415A2" w:rsidRDefault="005D0FC1">
            <w:pPr>
              <w:rPr>
                <w:lang w:val="en-US"/>
              </w:rPr>
            </w:pP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№226-2023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Кассета сменная со скобками для степлера сшивающего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со скобами хирургическими, нерассасывающимися, совместимость со степлером линейным ручным режущим эндоскопическим, одноразового использования - Для корректной </w:t>
            </w:r>
            <w:r>
              <w:rPr>
                <w:rFonts w:ascii="Times New Roman" w:hAnsi="Times New Roman"/>
                <w:sz w:val="24"/>
                <w:szCs w:val="24"/>
              </w:rPr>
              <w:t>работы с закупаемым степлером; Длина рабочей части 60 мм - Обусловлено спецификой операции; Материал изготовления скобы титановый сплав - МРТ совместимость; Нож расположен в кассете  - Соответствие, для осуществления более качественных хирургических рассеч</w:t>
            </w:r>
            <w:r>
              <w:rPr>
                <w:rFonts w:ascii="Times New Roman" w:hAnsi="Times New Roman"/>
                <w:sz w:val="24"/>
                <w:szCs w:val="24"/>
              </w:rPr>
              <w:t>ений; Кассета содержит два тройных ряда скоб расположенных в шахматном порядке - Соответствие, для уменьшения риска несостоятельности шва; Высота открытой скобы не более 3,5 мм - Обусловлено спецификой операции; Высота закрытой скобы не менее 1,5 мм - Обус</w:t>
            </w:r>
            <w:r>
              <w:rPr>
                <w:rFonts w:ascii="Times New Roman" w:hAnsi="Times New Roman"/>
                <w:sz w:val="24"/>
                <w:szCs w:val="24"/>
              </w:rPr>
              <w:t>ловлено спецификой операции;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Кассета сменная со скобками для степлера сшивающего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со скобами хирургическими, нерассасывающимися, совместимость со степлером линейным ручным режущим эндоскопическим, одноразового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- Для корректной работы с закупаемым степлером; Длина рабочей части 60 мм - Обусловлено спецификой операции; Материал изготовления скобы титановый сплав - МРТ совместимость; Нож расположен в кассете  - Соответствие, для осуществления более ка</w:t>
            </w:r>
            <w:r>
              <w:rPr>
                <w:rFonts w:ascii="Times New Roman" w:hAnsi="Times New Roman"/>
                <w:sz w:val="24"/>
                <w:szCs w:val="24"/>
              </w:rPr>
              <w:t>чественных хирургических рассечений; Кассета содержит два тройных ряда скоб расположенных в шахматном порядке - Соответствие, для уменьшения риска несостоятельности шва; Высота открытой скобы не более 3,8 мм - Обусловлено спецификой операции; Высота закрыт</w:t>
            </w:r>
            <w:r>
              <w:rPr>
                <w:rFonts w:ascii="Times New Roman" w:hAnsi="Times New Roman"/>
                <w:sz w:val="24"/>
                <w:szCs w:val="24"/>
              </w:rPr>
              <w:t>ой скобы не менее 1,75 мм - Обусловлено спецификой операции.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Кассета сменная со скобками для степлера сшивающего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со скобами хирургическими, нерассасывающимися, совместимость со степлером линейным ручным режущим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эндоскопическим, одноразового использования - Для корректной работы с закупаемым степлером; Длина рабочей части 60 мм - Обусловлено спецификой операции; Материал изготовления скобы титановый сплав - МРТ совместимость; Нож расположен в кассете  -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ие, для осуществления более качественных хирургических рассечений; Кассета содержит два тройных ряда скоб расположенных в шахматном порядке - Соответствие, для уменьшения риска несостоятельности шва; Высота открытой скобы не более 4,1 мм - Обусловлено спец</w:t>
            </w:r>
            <w:r>
              <w:rPr>
                <w:rFonts w:ascii="Times New Roman" w:hAnsi="Times New Roman"/>
                <w:sz w:val="24"/>
                <w:szCs w:val="24"/>
              </w:rPr>
              <w:t>ификой операции; Высота закрытой скобы не менее 2  мм - Обусловлено спецификой операции.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ультразвуковые коагуляционные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коагуляционные ультразвуковые с эргономичной пистолетной рукояткой для открытых 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эндоскопических операций, с ручной активацией. Предназначены для одновременного рассечения и коагуляции тканей и сосудов диаметром до 7 мм. При отсутствии активации могут использоваться в качестве граспера, диссектора. Частота колебания титанового лезвия н</w:t>
            </w:r>
            <w:r>
              <w:rPr>
                <w:rFonts w:ascii="Times New Roman" w:hAnsi="Times New Roman"/>
                <w:sz w:val="24"/>
                <w:szCs w:val="24"/>
              </w:rPr>
              <w:t>ожниц в продольном направлении 55,5 кГц. Возможность активации насадки с помощью кнопок включения в минимальном и максимальном режимах мощности, в режиме усовершенствованного гемостаза, расположенных на передней  и боковой поверхности корпуса насадки для б</w:t>
            </w:r>
            <w:r>
              <w:rPr>
                <w:rFonts w:ascii="Times New Roman" w:hAnsi="Times New Roman"/>
                <w:sz w:val="24"/>
                <w:szCs w:val="24"/>
              </w:rPr>
              <w:t>ыстрого доступа, или с помощью ножного привода (педали) для минимального и максимального режимов мощности. Корпус рукоятки имеет встроенный механизм тактильной и звуковой индикации полного сведени браншей. Наличие системы обратной связи с генератором и кон</w:t>
            </w:r>
            <w:r>
              <w:rPr>
                <w:rFonts w:ascii="Times New Roman" w:hAnsi="Times New Roman"/>
                <w:sz w:val="24"/>
                <w:szCs w:val="24"/>
              </w:rPr>
              <w:t>троля температуры активного лезвия насадки, посредством генератора G11 (Джен Илевен), для повышения эффективности и скорости работы инструментом, а так же снижения уровня латерального повреждения тканей.  Наличие функции усовершенствованного гемостаза позв</w:t>
            </w:r>
            <w:r>
              <w:rPr>
                <w:rFonts w:ascii="Times New Roman" w:hAnsi="Times New Roman"/>
                <w:sz w:val="24"/>
                <w:szCs w:val="24"/>
              </w:rPr>
              <w:t>оляет проводить коагуляцию сосудов до 7 мм в диаметре. Кнопка усовершенствованного гемостаза для удобства использования вынесена на боковую панель с обеих сторон корпуса и выделена зеленым цветом. Наличие дополнительного звукового сигнала, оповещающего о н</w:t>
            </w:r>
            <w:r>
              <w:rPr>
                <w:rFonts w:ascii="Times New Roman" w:hAnsi="Times New Roman"/>
                <w:sz w:val="24"/>
                <w:szCs w:val="24"/>
              </w:rPr>
              <w:t>ачале повышения температуры активного лезвия, для более совершенного контроля качества гемостаза. Ствол с антибликым покрытием.  Длина ствола 45 см от конца активной бранши до кольца ротации. Диаметр ствола 5 мм. Ротация ствола на 360 градусов осуществляет</w:t>
            </w:r>
            <w:r>
              <w:rPr>
                <w:rFonts w:ascii="Times New Roman" w:hAnsi="Times New Roman"/>
                <w:sz w:val="24"/>
                <w:szCs w:val="24"/>
              </w:rPr>
              <w:t>ся при помощи ротационного кольца, расположенного на стыке ствола и рукоятки насадки (для быстрого доступа при помощи одной руки) -  облегчает визуализацию и доступ к операционному полю. Индикатор длины 5 мм на обеих боковых сторонах пассивной бранши. Нали</w:t>
            </w:r>
            <w:r>
              <w:rPr>
                <w:rFonts w:ascii="Times New Roman" w:hAnsi="Times New Roman"/>
                <w:sz w:val="24"/>
                <w:szCs w:val="24"/>
              </w:rPr>
              <w:t>чие резьбового разъема для соединения с лапаросонической рукояткой. Пистолетная рукоятка сведения браншей. Наличие резиновых прокладок на внутренней стороне рукоятки сведения браншей, кнопках ручной активации и ротационном кольце, препятствующих скольжению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способствующих комфортному размещению руки хирурга. Рабочая часть состоит из активной (лезвие) и пассивной браншей. Активная бранша титановая, с покрытием, для снижения степени налипания, изогнутая, для улучшения визуализации рабочего пространства, имее</w:t>
            </w:r>
            <w:r>
              <w:rPr>
                <w:rFonts w:ascii="Times New Roman" w:hAnsi="Times New Roman"/>
                <w:sz w:val="24"/>
                <w:szCs w:val="24"/>
              </w:rPr>
              <w:t>т в сечении шестигранную форму. Выпуклая и изогнутая поверхности, а также проксимальная часть активной бранши обладают более выраженным эффектом коагуляции тканей. Острые верхняя и нижняя грани, а также дистальная часть активной бранши (кончик) ообладают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олее выраженным эффектом диссекци тканей. Пассивная бранша имеет пластиковую накладку с насечками для улучшения фиксации ткани. Длина активной бранши (лезвия) 15 мм. Ширина пассивной бранши 2,67 мм. Аппертура раскрытия бранш 11,35 мм. Комплектуются замком </w:t>
            </w:r>
            <w:r>
              <w:rPr>
                <w:rFonts w:ascii="Times New Roman" w:hAnsi="Times New Roman"/>
                <w:sz w:val="24"/>
                <w:szCs w:val="24"/>
              </w:rPr>
              <w:t>рабочей части. Предназначены для использования у одного пациента, не подлежат повторной стерилизации. Поставляются стерильными. Может применяться у пациентов с кардиостимуляторами. Совместимы с генератором GEN11 при помощи специального адаптера  насадок «Г</w:t>
            </w:r>
            <w:r>
              <w:rPr>
                <w:rFonts w:ascii="Times New Roman" w:hAnsi="Times New Roman"/>
                <w:sz w:val="24"/>
                <w:szCs w:val="24"/>
              </w:rPr>
              <w:t>армоник».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эндоскопический артикуляционный 60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шафта не менее 250 мм  - Для обеспечения необходимого доступа; Артикуляция осуществляется переключателем, расположенным на аппарате или с помощью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расположенного на аппарате - Для большей маневренности аппарата в ограниченных условиях; Нож расположен в кассете  - Соответствие, для осуществления более качественных хирургических рассечений; Вращение шафта на 360 градусов -  Для большей манев</w:t>
            </w:r>
            <w:r>
              <w:rPr>
                <w:rFonts w:ascii="Times New Roman" w:hAnsi="Times New Roman"/>
                <w:sz w:val="24"/>
                <w:szCs w:val="24"/>
              </w:rPr>
              <w:t>ренности аппарата в ограниченных условиях; Аппарат оснащен упорной рукояткой, отдельными рычагами фиксации сжатия браншей и  прошивания  - Соответствие, для минимализации возможности случайного прошивания; Совместим при использовании всех типов кассет с тр</w:t>
            </w:r>
            <w:r>
              <w:rPr>
                <w:rFonts w:ascii="Times New Roman" w:hAnsi="Times New Roman"/>
                <w:sz w:val="24"/>
                <w:szCs w:val="24"/>
              </w:rPr>
              <w:t>оакарами не более 12 мм  - Для уменьшения количества лишних манипуляций во время проведения процедуры; Возможность использовать с кассетой длинной рабочей части 60 мм – Соответствие, обусловлено спецификой операции; Максимальное количество прошиваний аппар</w:t>
            </w:r>
            <w:r>
              <w:rPr>
                <w:rFonts w:ascii="Times New Roman" w:hAnsi="Times New Roman"/>
                <w:sz w:val="24"/>
                <w:szCs w:val="24"/>
              </w:rPr>
              <w:t>атом не менее 12 - Для возможности использовать различные кассеты в рамках одной операции.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рассасывающаяся окрашенная M2 (3/0)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 для безузловой фиксации тканей, </w:t>
            </w:r>
            <w:r>
              <w:rPr>
                <w:rFonts w:ascii="Times New Roman" w:hAnsi="Times New Roman"/>
                <w:sz w:val="24"/>
                <w:szCs w:val="24"/>
              </w:rPr>
              <w:t>синтетическая, рассасывающаяся, монофиламентная, окрашенная, изготовленная из полидиоксанона, который не имеет антигенной активности и апирогеннен. Нить имеет на своей поверхности специальные однонаправленные шипы, расположенные по спирали,  не требующие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спользования узлов для соединения противоположных краев раны и петлю на конце для фиксации ткани.  Окрашена в контрастный цвет. Нить сохраняет 80% первоначальной прочности на разрыв IN VIVO через 4 недели и 40-70%  через 6 недель после имплантации.  Срок п</w:t>
            </w:r>
            <w:r>
              <w:rPr>
                <w:rFonts w:ascii="Times New Roman" w:hAnsi="Times New Roman"/>
                <w:sz w:val="24"/>
                <w:szCs w:val="24"/>
              </w:rPr>
              <w:t>олного рассасывания 210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(триклозан) проявляет клинически доказанную антимикробную активность прот</w:t>
            </w:r>
            <w:r>
              <w:rPr>
                <w:rFonts w:ascii="Times New Roman" w:hAnsi="Times New Roman"/>
                <w:sz w:val="24"/>
                <w:szCs w:val="24"/>
              </w:rPr>
              <w:t>ив Staphylococcus aureus, Staphylococcus epidermidis, MRSA,MRSE, E.coli, Klebsiella Pneumoniae  в концентрации, достаточной для подавления роста указанных штаммов микроорганизмов.  Метрический размер 2, условный размер  3-0. Длина нити  15 см. Одна игла.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 изготовлена из коррозионностойкого высокопрочного сплава,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</w:t>
            </w:r>
            <w:r>
              <w:rPr>
                <w:rFonts w:ascii="Times New Roman" w:hAnsi="Times New Roman"/>
                <w:sz w:val="24"/>
                <w:szCs w:val="24"/>
              </w:rPr>
              <w:t>предотвращает необходимость замены иглы, улучшает контроль над иглой и уменьшает травмирование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</w:t>
            </w:r>
            <w:r>
              <w:rPr>
                <w:rFonts w:ascii="Times New Roman" w:hAnsi="Times New Roman"/>
                <w:sz w:val="24"/>
                <w:szCs w:val="24"/>
              </w:rPr>
              <w:t>ти металла". Игла имеет конструкцию, увеличивающую надежность ее фиксации в иглодержателе  за счет насечек в месте захвата. Игла колющая, 1/2  окружности, 26 мм длиной.  Стерильный внутренний вкладыш из пластика с шовным материалом упакован в индивидуальну</w:t>
            </w:r>
            <w:r>
              <w:rPr>
                <w:rFonts w:ascii="Times New Roman" w:hAnsi="Times New Roman"/>
                <w:sz w:val="24"/>
                <w:szCs w:val="24"/>
              </w:rPr>
              <w:t>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к внутреннему вкладышу в одно движение для минимизации временных затрат на манипуляции с нитью. Маркировк</w:t>
            </w:r>
            <w:r>
              <w:rPr>
                <w:rFonts w:ascii="Times New Roman" w:hAnsi="Times New Roman"/>
                <w:sz w:val="24"/>
                <w:szCs w:val="24"/>
              </w:rPr>
              <w:t>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 длину нити,  длину иглы, обозн</w:t>
            </w:r>
            <w:r>
              <w:rPr>
                <w:rFonts w:ascii="Times New Roman" w:hAnsi="Times New Roman"/>
                <w:sz w:val="24"/>
                <w:szCs w:val="24"/>
              </w:rPr>
              <w:t>ачение типа иглы, кривизны иглы, количества игл; информацию о сроке годности, номере партии(серии),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длину нити, длину иглы, обозначение типа иглы, кривизны иглы, изобр</w:t>
            </w:r>
            <w:r>
              <w:rPr>
                <w:rFonts w:ascii="Times New Roman" w:hAnsi="Times New Roman"/>
                <w:sz w:val="24"/>
                <w:szCs w:val="24"/>
              </w:rPr>
              <w:t>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внутреннем вкладыше обеспечивает ее прямолинейность после извле</w:t>
            </w:r>
            <w:r>
              <w:rPr>
                <w:rFonts w:ascii="Times New Roman" w:hAnsi="Times New Roman"/>
                <w:sz w:val="24"/>
                <w:szCs w:val="24"/>
              </w:rPr>
              <w:t>чения, минимизируя возникновение эффекта "памяти формы".  Игла зафиксирована, не задействуя острие иглы на внутреннем лотке, что предотвращает затупление острия. Лоток снабжен отклоняющимся пластиковым лепестком, который позволяет позиционировать иглу на н</w:t>
            </w:r>
            <w:r>
              <w:rPr>
                <w:rFonts w:ascii="Times New Roman" w:hAnsi="Times New Roman"/>
                <w:sz w:val="24"/>
                <w:szCs w:val="24"/>
              </w:rPr>
              <w:t>ужную глубину в браншах иглодержателя в одно движение.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 по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скому применению на русском языке.  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Троакар для лапароскопии 12 мм х 10 см с гладкой канюлей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создания хирургического доступа 5-12 мм. Технические характеристики: стилет с обтуратором конической формы и защитой ножа. </w:t>
            </w:r>
            <w:r>
              <w:rPr>
                <w:rFonts w:ascii="Times New Roman" w:hAnsi="Times New Roman"/>
                <w:sz w:val="24"/>
                <w:szCs w:val="24"/>
              </w:rPr>
              <w:t>Плоский V-образный стальной нож, съемный адаптер-переходник 5-12 мм, лепестковый клапанный блок, кран инсуфляции-десуффляции, индикатор защиты ножа, гладкая канюля диаметром 12 мм, длиной 10 см. Стерильный. Однократного применения.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A41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0FC1" w:rsidRDefault="005D0F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0FC1" w:rsidRDefault="005D0FC1"/>
        </w:tc>
        <w:tc>
          <w:tcPr>
            <w:tcW w:w="2535" w:type="dxa"/>
            <w:shd w:val="clear" w:color="auto" w:fill="auto"/>
            <w:vAlign w:val="bottom"/>
          </w:tcPr>
          <w:p w:rsidR="005D0FC1" w:rsidRDefault="005D0FC1"/>
        </w:tc>
        <w:tc>
          <w:tcPr>
            <w:tcW w:w="3315" w:type="dxa"/>
            <w:shd w:val="clear" w:color="auto" w:fill="auto"/>
            <w:vAlign w:val="bottom"/>
          </w:tcPr>
          <w:p w:rsidR="005D0FC1" w:rsidRDefault="005D0FC1"/>
        </w:tc>
        <w:tc>
          <w:tcPr>
            <w:tcW w:w="1125" w:type="dxa"/>
            <w:shd w:val="clear" w:color="auto" w:fill="auto"/>
            <w:vAlign w:val="bottom"/>
          </w:tcPr>
          <w:p w:rsidR="005D0FC1" w:rsidRDefault="005D0FC1"/>
        </w:tc>
        <w:tc>
          <w:tcPr>
            <w:tcW w:w="1275" w:type="dxa"/>
            <w:shd w:val="clear" w:color="auto" w:fill="auto"/>
            <w:vAlign w:val="bottom"/>
          </w:tcPr>
          <w:p w:rsidR="005D0FC1" w:rsidRDefault="005D0FC1"/>
        </w:tc>
        <w:tc>
          <w:tcPr>
            <w:tcW w:w="1470" w:type="dxa"/>
            <w:shd w:val="clear" w:color="auto" w:fill="auto"/>
            <w:vAlign w:val="bottom"/>
          </w:tcPr>
          <w:p w:rsidR="005D0FC1" w:rsidRDefault="005D0FC1"/>
        </w:tc>
        <w:tc>
          <w:tcPr>
            <w:tcW w:w="2100" w:type="dxa"/>
            <w:shd w:val="clear" w:color="auto" w:fill="auto"/>
            <w:vAlign w:val="bottom"/>
          </w:tcPr>
          <w:p w:rsidR="005D0FC1" w:rsidRDefault="005D0FC1"/>
        </w:tc>
        <w:tc>
          <w:tcPr>
            <w:tcW w:w="1995" w:type="dxa"/>
            <w:shd w:val="clear" w:color="auto" w:fill="auto"/>
            <w:vAlign w:val="bottom"/>
          </w:tcPr>
          <w:p w:rsidR="005D0FC1" w:rsidRDefault="005D0FC1"/>
        </w:tc>
        <w:tc>
          <w:tcPr>
            <w:tcW w:w="1650" w:type="dxa"/>
            <w:shd w:val="clear" w:color="auto" w:fill="auto"/>
            <w:vAlign w:val="bottom"/>
          </w:tcPr>
          <w:p w:rsidR="005D0FC1" w:rsidRDefault="005D0FC1"/>
        </w:tc>
        <w:tc>
          <w:tcPr>
            <w:tcW w:w="1905" w:type="dxa"/>
            <w:shd w:val="clear" w:color="auto" w:fill="auto"/>
            <w:vAlign w:val="bottom"/>
          </w:tcPr>
          <w:p w:rsidR="005D0FC1" w:rsidRDefault="005D0FC1"/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0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0FC1" w:rsidRDefault="00A415A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415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C1"/>
    <w:rsid w:val="005D0FC1"/>
    <w:rsid w:val="00A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B262"/>
  <w15:docId w15:val="{DCDCFE4D-4B7D-45A3-86CC-FE620C98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2023-02-10T08:19:00Z</dcterms:created>
  <dcterms:modified xsi:type="dcterms:W3CDTF">2023-02-10T08:20:00Z</dcterms:modified>
</cp:coreProperties>
</file>