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333"/>
        <w:gridCol w:w="2690"/>
        <w:gridCol w:w="955"/>
        <w:gridCol w:w="620"/>
        <w:gridCol w:w="832"/>
        <w:gridCol w:w="1658"/>
        <w:gridCol w:w="1349"/>
      </w:tblGrid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 w:rsidRP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Pr="0045367A" w:rsidRDefault="004536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53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536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53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536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53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536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szCs w:val="16"/>
                <w:lang w:val="en-US"/>
              </w:rPr>
            </w:pPr>
          </w:p>
        </w:tc>
      </w:tr>
      <w:tr w:rsidR="006E0D63" w:rsidRP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Pr="0045367A" w:rsidRDefault="004536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6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Pr="0045367A" w:rsidRDefault="006E0D63">
            <w:pPr>
              <w:rPr>
                <w:szCs w:val="16"/>
                <w:lang w:val="en-US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 w:rsidP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0D63" w:rsidRDefault="006E0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0D63" w:rsidRDefault="00453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D63" w:rsidRDefault="0045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Порошкообразный реактив на 100 мл готового раствора (срок хранения раствора - 1 месяц). Предназначен для определения следов крови, следов ржавчины, стирального порошка с отбеливателями, окислителей (хлорамина, хлорной извести, хромовой смеси и др.),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</w:t>
            </w:r>
            <w:r>
              <w:rPr>
                <w:rFonts w:ascii="Times New Roman" w:hAnsi="Times New Roman"/>
                <w:sz w:val="24"/>
                <w:szCs w:val="24"/>
              </w:rPr>
              <w:t>идаз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растительного происхождения (растительных остатков) и кислот на изделиях медицинского назначения при контроле качества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очистки.  Остаточный срок годности на момент поставки должен быть не менее 80% от указанного 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–180/60-01-1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не ниже 4 по ГОСТ Р ИСО 11140-1-2009 -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 переменных паровой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стерилизации – температуры стерилизации,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стерилизационной выдержки и наличия насыщенного водяного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  снаружи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бумажных, комбинированных упаковок, стерилизационных коробок, текстильных, металлических и других укладок в контрольных точках  стерилизационной камеры гравитационных паровых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терилизаторах. Контролируемый режим стерилизации в пределах: 180±2°С/60+2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  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 формы на бумажно-пленочной основе с нанесением на лицевой стороне двух цветных меток - индикаторной и элемента сравнения того цвета, который приобретае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первая при соблюдении параметров стерилизации и маркировки. Лицевая поверхность индикатора ламинирована паропроницаемой, водозащитной пленкой. Обратная сторона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липким слоем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закрытым двумя половинками защитной бумаги. Производятся в листах с точечной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рфорацией между индикаторами. Гарантийный срок не мене 36 месяцев. В упаковке должно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с журналом Ф.257/у. Наименование индикатора, вид стерилизации, класс по ГОСТ, дата изготовления, срок годности, номер партии, условия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штамп ОТК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плоские для паровой стерилизации самоклеющиеся 130 х 250 мм №200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комбинированные (бумага-пленка) самоклеящиеся для паровой стерилизации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хранения до использования по назначению. Упаковка соответствует ме</w:t>
            </w:r>
            <w:r>
              <w:rPr>
                <w:rFonts w:ascii="Times New Roman" w:hAnsi="Times New Roman"/>
                <w:sz w:val="24"/>
                <w:szCs w:val="24"/>
              </w:rPr>
              <w:t>ждународному стандарту EN 868 и отвечает требованиям, предъявляемым к медицинским стерилизационным упаковочным материалам. Изготовлены из прозрачной окрашенной многослойной полимерной (полиэстер/полипропилен) пленки (прозрачная сторона) и специальной водоо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выступающей части бумажной стороны пакета (клапане) нанесен липкий слой, закрытый защитной полоской бумаги, который позволяет герметично запечатывать пакеты без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специального оборудования. На лицевой стороне нанесены обозначения: торговая марка,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</w:t>
            </w:r>
            <w:r>
              <w:rPr>
                <w:rFonts w:ascii="Times New Roman" w:hAnsi="Times New Roman"/>
                <w:sz w:val="24"/>
                <w:szCs w:val="24"/>
              </w:rPr>
              <w:t>е индикаторы 3 шт. с описанием цвета, приобретаемого индикатором после стерилизации. Плотность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</w:t>
            </w:r>
            <w:r>
              <w:rPr>
                <w:rFonts w:ascii="Times New Roman" w:hAnsi="Times New Roman"/>
                <w:sz w:val="24"/>
                <w:szCs w:val="24"/>
              </w:rPr>
              <w:t>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130х250мм (±5мм), не менее 200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самоклеющиеся </w:t>
            </w:r>
            <w:r>
              <w:rPr>
                <w:rFonts w:ascii="Times New Roman" w:hAnsi="Times New Roman"/>
                <w:sz w:val="24"/>
                <w:szCs w:val="24"/>
              </w:rPr>
              <w:t>"ПИК-ПАК"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 ПС 90 х 250. В упаковке 200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  <w:tr w:rsidR="006E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паровой стерилизации химический одноразовый 134/5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не ниже 4 по ГОСТ Р ИСО 11140-1-2009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соблюдения не 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 при размещении как снаружи упаковок и изделий в контрольных точках стерилизацион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камеры, так и внутри бумажных, комбинированных упаковок, стерилизационных коробок, текстильных, металлических и других укладок, трубчатых или массивных трудно стерилизуемых изделий с полостями при их стерилизации в форвакуумных паровых стерилизаторах,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изготовленных по ГОСТ Р 19569-89. Контролируемый режим стерилизации: 134±1°С/5+1 минут и давление пара 0,21±0,01 МПа. Индикатор прямоугольной формы на бумажно-пленочной основе с нанесенными на лицевой стороне двумя цветными метками - индикаторной и элемент</w:t>
            </w:r>
            <w:r>
              <w:rPr>
                <w:rFonts w:ascii="Times New Roman" w:hAnsi="Times New Roman"/>
                <w:sz w:val="24"/>
                <w:szCs w:val="24"/>
              </w:rPr>
              <w:t>а сравнения того цвета, который приобретает первая при соблюдении параметров стерилизации, и маркировки.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или после соответствующего режима стерилизации. Лицевая поверхность ламинирована паропроницаемой, водозащитной пленкой. Обратная сторона с липким слоем для фиксации в месте контроля и документах архива, закрытым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половинками защитной бумаги.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зводится в листах с точечной перфорацией между индикаторами. Гарантийный срок не менее 36 месяцев. Остаточный срок годности на момент поставки – не менее 80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Поставляется комплектами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журналом Ф.257/у. Наименование индикатора, вид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изации, класс по ГОСТ, дата изготовления, срок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45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0D63" w:rsidRDefault="006E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0D63" w:rsidRDefault="006E0D63">
            <w:pPr>
              <w:rPr>
                <w:szCs w:val="16"/>
              </w:rPr>
            </w:pPr>
          </w:p>
        </w:tc>
      </w:tr>
    </w:tbl>
    <w:p w:rsidR="00000000" w:rsidRDefault="0045367A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37"/>
        <w:gridCol w:w="2412"/>
        <w:gridCol w:w="850"/>
        <w:gridCol w:w="953"/>
        <w:gridCol w:w="1062"/>
        <w:gridCol w:w="1446"/>
        <w:gridCol w:w="1309"/>
      </w:tblGrid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5367A" w:rsidRDefault="004536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5367A" w:rsidRDefault="004536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5367A" w:rsidRDefault="0045367A">
            <w:pPr>
              <w:rPr>
                <w:szCs w:val="16"/>
              </w:rPr>
            </w:pP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367A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5367A" w:rsidRDefault="00453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45367A" w:rsidRDefault="0045367A" w:rsidP="0045367A"/>
    <w:p w:rsidR="0045367A" w:rsidRDefault="0045367A">
      <w:bookmarkStart w:id="0" w:name="_GoBack"/>
      <w:bookmarkEnd w:id="0"/>
    </w:p>
    <w:sectPr w:rsidR="0045367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D63"/>
    <w:rsid w:val="0045367A"/>
    <w:rsid w:val="006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20091-1BE2-4642-82BE-6C1EE714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2020-01-14T05:19:00Z</dcterms:created>
  <dcterms:modified xsi:type="dcterms:W3CDTF">2020-01-14T05:19:00Z</dcterms:modified>
</cp:coreProperties>
</file>