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5"/>
        <w:gridCol w:w="2237"/>
        <w:gridCol w:w="2640"/>
        <w:gridCol w:w="836"/>
        <w:gridCol w:w="780"/>
        <w:gridCol w:w="1018"/>
        <w:gridCol w:w="1917"/>
        <w:gridCol w:w="966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664A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51FD2">
              <w:rPr>
                <w:rFonts w:ascii="Times New Roman" w:hAnsi="Times New Roman"/>
                <w:sz w:val="24"/>
                <w:szCs w:val="24"/>
              </w:rPr>
              <w:t>1</w:t>
            </w:r>
            <w:r w:rsidR="00B25CA1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20</w:t>
            </w:r>
            <w:r w:rsidR="00C931D8">
              <w:rPr>
                <w:rFonts w:ascii="Times New Roman" w:hAnsi="Times New Roman"/>
                <w:sz w:val="24"/>
                <w:szCs w:val="24"/>
              </w:rPr>
              <w:t>8</w:t>
            </w:r>
            <w:r w:rsidR="00EB6696">
              <w:rPr>
                <w:rFonts w:ascii="Times New Roman" w:hAnsi="Times New Roman"/>
                <w:sz w:val="24"/>
                <w:szCs w:val="24"/>
              </w:rPr>
              <w:t>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D715F" w:rsidRDefault="005664A0" w:rsidP="000804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псевдокист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поджелудочной железы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C652C" w:rsidRDefault="005664A0" w:rsidP="00202B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восстановленияи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поддержания проходимости полых органов ЖКТ (желудочно-кишечного тракта) с системой доставки. Предназначен для дренирования кист поджелудочной железы. Диаметр основной части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 мм, длина основной части 30 мм, полная длина 40 мм. Расширения на </w:t>
            </w:r>
            <w:r w:rsidR="009C652C">
              <w:rPr>
                <w:rFonts w:ascii="Times New Roman" w:hAnsi="Times New Roman"/>
                <w:sz w:val="28"/>
                <w:szCs w:val="28"/>
              </w:rPr>
              <w:t xml:space="preserve">обоих концах </w:t>
            </w:r>
            <w:proofErr w:type="spellStart"/>
            <w:r w:rsidR="009C652C">
              <w:rPr>
                <w:rFonts w:ascii="Times New Roman" w:hAnsi="Times New Roman"/>
                <w:sz w:val="28"/>
                <w:szCs w:val="28"/>
              </w:rPr>
              <w:t>стента</w:t>
            </w:r>
            <w:proofErr w:type="spellEnd"/>
            <w:r w:rsidR="009C652C">
              <w:rPr>
                <w:rFonts w:ascii="Times New Roman" w:hAnsi="Times New Roman"/>
                <w:sz w:val="28"/>
                <w:szCs w:val="28"/>
              </w:rPr>
              <w:t xml:space="preserve"> имеют форму пятилучевой звезды (</w:t>
            </w:r>
            <w:proofErr w:type="spellStart"/>
            <w:r w:rsidR="009C652C">
              <w:rPr>
                <w:rFonts w:ascii="Times New Roman" w:hAnsi="Times New Roman"/>
                <w:sz w:val="28"/>
                <w:szCs w:val="28"/>
              </w:rPr>
              <w:t>антимиграционный</w:t>
            </w:r>
            <w:proofErr w:type="spellEnd"/>
            <w:r w:rsidR="009C652C">
              <w:rPr>
                <w:rFonts w:ascii="Times New Roman" w:hAnsi="Times New Roman"/>
                <w:sz w:val="28"/>
                <w:szCs w:val="28"/>
              </w:rPr>
              <w:t xml:space="preserve"> механизм). </w:t>
            </w:r>
            <w:proofErr w:type="spellStart"/>
            <w:r w:rsidR="009C652C">
              <w:rPr>
                <w:rFonts w:ascii="Times New Roman" w:hAnsi="Times New Roman"/>
                <w:sz w:val="28"/>
                <w:szCs w:val="28"/>
              </w:rPr>
              <w:t>Стент</w:t>
            </w:r>
            <w:proofErr w:type="spellEnd"/>
            <w:r w:rsidR="009C652C">
              <w:rPr>
                <w:rFonts w:ascii="Times New Roman" w:hAnsi="Times New Roman"/>
                <w:sz w:val="28"/>
                <w:szCs w:val="28"/>
              </w:rPr>
              <w:t xml:space="preserve"> на доставочном устройстве. Доставочное устройство длиной 1800 </w:t>
            </w:r>
            <w:proofErr w:type="spellStart"/>
            <w:proofErr w:type="gramStart"/>
            <w:r w:rsidR="009C652C">
              <w:rPr>
                <w:rFonts w:ascii="Times New Roman" w:hAnsi="Times New Roman"/>
                <w:sz w:val="28"/>
                <w:szCs w:val="28"/>
              </w:rPr>
              <w:t>мм,диаметром</w:t>
            </w:r>
            <w:proofErr w:type="spellEnd"/>
            <w:proofErr w:type="gramEnd"/>
            <w:r w:rsidR="009C652C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 w:rsidR="009C652C">
              <w:rPr>
                <w:rFonts w:ascii="Times New Roman" w:hAnsi="Times New Roman"/>
                <w:sz w:val="28"/>
                <w:szCs w:val="28"/>
                <w:lang w:val="en-US"/>
              </w:rPr>
              <w:t>Fr</w:t>
            </w:r>
            <w:r w:rsidR="009C652C">
              <w:rPr>
                <w:rFonts w:ascii="Times New Roman" w:hAnsi="Times New Roman"/>
                <w:sz w:val="28"/>
                <w:szCs w:val="28"/>
              </w:rPr>
              <w:t xml:space="preserve">. Стерильная </w:t>
            </w:r>
            <w:r w:rsidR="009C65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упаковка. Стерильная упаковка. </w:t>
            </w:r>
            <w:r w:rsidR="009C652C">
              <w:rPr>
                <w:rFonts w:ascii="Times New Roman" w:hAnsi="Times New Roman"/>
                <w:sz w:val="28"/>
                <w:szCs w:val="28"/>
                <w:lang w:val="en-US"/>
              </w:rPr>
              <w:t>MTW,</w:t>
            </w:r>
            <w:r w:rsidR="00B01DC1">
              <w:rPr>
                <w:rFonts w:ascii="Times New Roman" w:hAnsi="Times New Roman"/>
                <w:sz w:val="28"/>
                <w:szCs w:val="28"/>
              </w:rPr>
              <w:t xml:space="preserve"> Германия)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D715F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15F">
              <w:rPr>
                <w:rFonts w:ascii="Times New Roman" w:hAnsi="Times New Roman"/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D715F" w:rsidRDefault="00EB6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D715F" w:rsidRDefault="00D02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664A0">
              <w:rPr>
                <w:rFonts w:ascii="Times New Roman" w:hAnsi="Times New Roman"/>
                <w:sz w:val="28"/>
                <w:szCs w:val="28"/>
              </w:rPr>
              <w:t>20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2B5929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CCA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2D715F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664A0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4A51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52C"/>
    <w:rsid w:val="009C6EA3"/>
    <w:rsid w:val="009D3224"/>
    <w:rsid w:val="009E0541"/>
    <w:rsid w:val="009E1002"/>
    <w:rsid w:val="009F61A0"/>
    <w:rsid w:val="009F7F4B"/>
    <w:rsid w:val="00A038BE"/>
    <w:rsid w:val="00A43E28"/>
    <w:rsid w:val="00A51FD2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01DC1"/>
    <w:rsid w:val="00B114EB"/>
    <w:rsid w:val="00B235AF"/>
    <w:rsid w:val="00B25CA1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931D8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B6696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D269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26</cp:revision>
  <dcterms:created xsi:type="dcterms:W3CDTF">2023-10-06T08:08:00Z</dcterms:created>
  <dcterms:modified xsi:type="dcterms:W3CDTF">2023-12-19T03:27:00Z</dcterms:modified>
</cp:coreProperties>
</file>