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 w:rsidRPr="007030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Pr="0070304B" w:rsidRDefault="007030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30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73558" w:rsidRPr="0070304B" w:rsidRDefault="00D73558">
            <w:pPr>
              <w:rPr>
                <w:lang w:val="en-US"/>
              </w:rPr>
            </w:pP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 w:rsidP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№.2059-2022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гибкая для воды с внутренней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в стальной оплетке. Диаметр 15 мм, длина 60 см.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область применения: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Гибкая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смесителей, умывальников и водонагревателей.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Рабочие характеристики: до +110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 80 см (М/Р)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Лейка д/душа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режимов 1, высота 3 </w:t>
            </w:r>
            <w:r>
              <w:rPr>
                <w:rFonts w:ascii="Times New Roman" w:hAnsi="Times New Roman"/>
                <w:sz w:val="24"/>
                <w:szCs w:val="24"/>
              </w:rPr>
              <w:t>см, ширина 6,7 см, длина 19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Сиденье для унитаза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материал пластик, цвет белый. Габаритные размеры: ширина не менее 37 см, внутренняя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21 см, длина не менее 42 см, расстояние между креплениями не менее 13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резьба)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(нар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ужная резьба)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Лента-скотч для теплоизоляции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Лента-скотч для теплоизоляции используется для монтажа теплоизоляции из вспененного полиэтилена. Лента-скотч черного </w:t>
            </w:r>
            <w:r>
              <w:rPr>
                <w:rFonts w:ascii="Times New Roman" w:hAnsi="Times New Roman"/>
                <w:sz w:val="24"/>
                <w:szCs w:val="24"/>
              </w:rPr>
              <w:t>цвета применяется при температуре от +5°С до +40°С (показатель не требует конкретизации), диапазон рабочих температур от -40°С до +125°С (показатель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).Прочность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разрыв не менее 20 Н/10 мм. Тип клеевого слоя на основе натурального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каучука. Толщина клеевого слоя 20 мкм (показатель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основы не менее 110 мкм. Длина не менее 25 м. Ширина не менее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прямое 1х1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вн-вн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унитаза к полу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для унитаза к полу КТ-90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Термопаста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ФУМ профи12мм*0,1мм*20м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силиконовая для пробки и переходника радиатора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</w:t>
            </w:r>
            <w:r>
              <w:rPr>
                <w:rFonts w:ascii="Times New Roman" w:hAnsi="Times New Roman"/>
                <w:sz w:val="24"/>
                <w:szCs w:val="24"/>
              </w:rPr>
              <w:t>кухонной мойки 3 1/2"х40 с гибким переливом и гибкой трубой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с ножками 35 мм для смесителя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22 мм (керамика)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 смесителю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22 мм (керамика)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Дивертор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поворотный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умывальника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2-х кронштейнов умывальника (6х60) комплект.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Кольцо под американку 3/4"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сантехническая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 в одном товаре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прокладки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Резина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Входная резьба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3/4"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Резина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уплотнительная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Сантехпаста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воды 65 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Сантехпаста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это универсальный уплотнительный состав для герметизации резьбовых соединений в системах отопления, бытового и питьевого водоснабжения. Используется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льняными волокнами. Разрешена эксплуатация для систем с рабочим давлением до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температурой до 140°С.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с винтовым креплением 1,1/2 (48-53мм)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с винтовым креплением 1,1/2 (48-53мм)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 с винтовым </w:t>
            </w:r>
            <w:r>
              <w:rPr>
                <w:rFonts w:ascii="Times New Roman" w:hAnsi="Times New Roman"/>
                <w:sz w:val="24"/>
                <w:szCs w:val="24"/>
              </w:rPr>
              <w:t>креплением 4, (107-112мм)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с винтовым креплением 4, (107-112мм)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боковой подвод Уклад КН 56.00.00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боковой подвод Уклад КН 56.00.00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 56.00.00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Удобная установка, размещение и регулировка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поставляется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настроенным под определенный тип бачка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Быстрое малошумное заполнение бачка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Штуцер из высокопрочного пластика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для очистки воды от грубых частиц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100-процентный контроль качества.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ресурс работы, тыс. циклов 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................150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давлений, МПа............................0,05–1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Кратковременное предельное давление, МПа ....................1,5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заполнения бачка объемом 6 л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(при давлении воды в сети 0,6 МПа), с.........................35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Измене</w:t>
            </w:r>
            <w:r>
              <w:rPr>
                <w:rFonts w:ascii="Times New Roman" w:hAnsi="Times New Roman"/>
                <w:sz w:val="24"/>
                <w:szCs w:val="24"/>
              </w:rPr>
              <w:t>ние уровня воды при изменении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давления воды на 0,1 МПа, мм ................................. 2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Присоединительный размер .................................. G1/2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НИЖНИЙ КН 57.00.00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ВПУСКА НИЖНИЙ ПСКОВ УКЛАД ДЛЯ </w:t>
            </w:r>
            <w:r>
              <w:rPr>
                <w:rFonts w:ascii="Times New Roman" w:hAnsi="Times New Roman"/>
                <w:sz w:val="24"/>
                <w:szCs w:val="24"/>
              </w:rPr>
              <w:t>КЕРАМИЧЕСКИХ БАЧКОВ С НИЖНЕЙ ПОДВОДКОЙ ВОДЫ КН 57.00.00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ресурс работы, тыс. циклов ....................150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давлений, МПа .........................0,05 - 1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Кратковременное предельное давление, МПа ....................1,5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заполнение бачка объемом 6 л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(при давлении воды в сети 0,6 МПа), с. .......................35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(при давлении воды в сети 0,05 МПа), с. ...................&lt;=150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Изменение уровня воды при изменении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давления воды на 0,1 МПа, мм 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...2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Присоединительный размер ...................................G1/2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Поставляется в составе комплекта арматуры для керамического бачка или отдельно.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1/2" внутренняя резьба, латунь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1/2" внутренняя резьба, латунь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палитра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Серый / Серебристый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(дюйм)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1/2"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(лет)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(мм)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(°C)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давление </w:t>
            </w:r>
            <w:r>
              <w:rPr>
                <w:rFonts w:ascii="Times New Roman" w:hAnsi="Times New Roman"/>
                <w:sz w:val="24"/>
                <w:szCs w:val="24"/>
              </w:rPr>
              <w:t>(бар)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0.006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наружная резьба 1/2"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наружная резьба 1/2" никелированная латунь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палитра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Серый / Серебристый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Основной материал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  <w:p w:rsidR="00D73558" w:rsidRDefault="0070304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Опескоструенный</w:t>
            </w:r>
            <w:proofErr w:type="spellEnd"/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(дюйм)1/2"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(лет)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EQUATION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(мм)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(°C)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давление (бар)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винтовым креплением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прямое 1"Х1" ВР/ВР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К5-SFF044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прямое 1"Х1" ВР/ВР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К5-SFF044</w:t>
            </w:r>
          </w:p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фитингов предназначен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системе горячего водоснабжения. Изделия изготовлены из прочной хр</w:t>
            </w:r>
            <w:r>
              <w:rPr>
                <w:rFonts w:ascii="Times New Roman" w:hAnsi="Times New Roman"/>
                <w:sz w:val="24"/>
                <w:szCs w:val="24"/>
              </w:rPr>
              <w:t>омированной латуни, устойчивой к коррозии, истиранию, царапинам и износу. Благодаря шестигранной форме фитинг легко закручивается обычным гаечным ключом. Комплект обеспечивает качественное, надежное и долговечное резьбовое присоединение, которое можно демо</w:t>
            </w:r>
            <w:r>
              <w:rPr>
                <w:rFonts w:ascii="Times New Roman" w:hAnsi="Times New Roman"/>
                <w:sz w:val="24"/>
                <w:szCs w:val="24"/>
              </w:rPr>
              <w:t>нтировать при необходимости.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Нить для герметизации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Длинна не менее 5000 см., в пластиковом боксе. Резьбовой герметик на основе фторопластовых нитей.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мойки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бутылочнй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мойки бутылочный 11/2х40мм. Решетка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гофра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15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переходной Ду-15/20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переходной 15/20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нижняя подводка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для смывного бачка универсальная.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хромированная. Нижняя подводка.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 боковая подводка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для смывного бачка универсальная.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хромированная. Боковая </w:t>
            </w:r>
            <w:r>
              <w:rPr>
                <w:rFonts w:ascii="Times New Roman" w:hAnsi="Times New Roman"/>
                <w:sz w:val="24"/>
                <w:szCs w:val="24"/>
              </w:rPr>
              <w:t>подводка.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для алюминиевых радиаторов силиконовая ду-42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универсальный силиконовый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поключения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алюминиевых радиаторов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универсальный d-42 Ду-20 для алюминиевого радиатора, в комплекте 3 </w:t>
            </w:r>
            <w:r>
              <w:rPr>
                <w:rFonts w:ascii="Times New Roman" w:hAnsi="Times New Roman"/>
                <w:sz w:val="24"/>
                <w:szCs w:val="24"/>
              </w:rPr>
              <w:t>кронштейна.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 Ду-35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смесителя. Диаметр 35мм. Шток латунный. Клик-система.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 Ду-40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смесителя. Диаметр 40мм. Шток латунный. Клик-система.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 Ду-40 мм на ножках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Латунный шток, клик система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силиконовый </w:t>
            </w:r>
            <w:r>
              <w:rPr>
                <w:rFonts w:ascii="Times New Roman" w:hAnsi="Times New Roman"/>
                <w:sz w:val="24"/>
                <w:szCs w:val="24"/>
              </w:rPr>
              <w:t>сантехнический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7030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73558" w:rsidRDefault="00D735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22.12.2022 17:00:00 по местному времени. 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73558" w:rsidRDefault="00D73558"/>
        </w:tc>
        <w:tc>
          <w:tcPr>
            <w:tcW w:w="2535" w:type="dxa"/>
            <w:shd w:val="clear" w:color="auto" w:fill="auto"/>
            <w:vAlign w:val="bottom"/>
          </w:tcPr>
          <w:p w:rsidR="00D73558" w:rsidRDefault="00D73558"/>
        </w:tc>
        <w:tc>
          <w:tcPr>
            <w:tcW w:w="3315" w:type="dxa"/>
            <w:shd w:val="clear" w:color="auto" w:fill="auto"/>
            <w:vAlign w:val="bottom"/>
          </w:tcPr>
          <w:p w:rsidR="00D73558" w:rsidRDefault="00D73558"/>
        </w:tc>
        <w:tc>
          <w:tcPr>
            <w:tcW w:w="1125" w:type="dxa"/>
            <w:shd w:val="clear" w:color="auto" w:fill="auto"/>
            <w:vAlign w:val="bottom"/>
          </w:tcPr>
          <w:p w:rsidR="00D73558" w:rsidRDefault="00D73558"/>
        </w:tc>
        <w:tc>
          <w:tcPr>
            <w:tcW w:w="1275" w:type="dxa"/>
            <w:shd w:val="clear" w:color="auto" w:fill="auto"/>
            <w:vAlign w:val="bottom"/>
          </w:tcPr>
          <w:p w:rsidR="00D73558" w:rsidRDefault="00D73558"/>
        </w:tc>
        <w:tc>
          <w:tcPr>
            <w:tcW w:w="1470" w:type="dxa"/>
            <w:shd w:val="clear" w:color="auto" w:fill="auto"/>
            <w:vAlign w:val="bottom"/>
          </w:tcPr>
          <w:p w:rsidR="00D73558" w:rsidRDefault="00D73558"/>
        </w:tc>
        <w:tc>
          <w:tcPr>
            <w:tcW w:w="2100" w:type="dxa"/>
            <w:shd w:val="clear" w:color="auto" w:fill="auto"/>
            <w:vAlign w:val="bottom"/>
          </w:tcPr>
          <w:p w:rsidR="00D73558" w:rsidRDefault="00D73558"/>
        </w:tc>
        <w:tc>
          <w:tcPr>
            <w:tcW w:w="1995" w:type="dxa"/>
            <w:shd w:val="clear" w:color="auto" w:fill="auto"/>
            <w:vAlign w:val="bottom"/>
          </w:tcPr>
          <w:p w:rsidR="00D73558" w:rsidRDefault="00D73558"/>
        </w:tc>
        <w:tc>
          <w:tcPr>
            <w:tcW w:w="1650" w:type="dxa"/>
            <w:shd w:val="clear" w:color="auto" w:fill="auto"/>
            <w:vAlign w:val="bottom"/>
          </w:tcPr>
          <w:p w:rsidR="00D73558" w:rsidRDefault="00D73558"/>
        </w:tc>
        <w:tc>
          <w:tcPr>
            <w:tcW w:w="1905" w:type="dxa"/>
            <w:shd w:val="clear" w:color="auto" w:fill="auto"/>
            <w:vAlign w:val="bottom"/>
          </w:tcPr>
          <w:p w:rsidR="00D73558" w:rsidRDefault="00D73558"/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73558" w:rsidRDefault="0070304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7030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558"/>
    <w:rsid w:val="0070304B"/>
    <w:rsid w:val="00D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CDD6-6AA0-456C-830E-BD5CA2C1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2022-12-19T06:47:00Z</dcterms:created>
  <dcterms:modified xsi:type="dcterms:W3CDTF">2022-12-19T06:48:00Z</dcterms:modified>
</cp:coreProperties>
</file>